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104F6" w14:textId="4A71B0DB" w:rsidR="006E78B4" w:rsidRPr="00082425" w:rsidRDefault="000F05E5" w:rsidP="00D1410C">
      <w:pPr>
        <w:spacing w:after="360" w:line="360" w:lineRule="auto"/>
        <w:jc w:val="center"/>
        <w:rPr>
          <w:rFonts w:ascii="Times New Roman" w:eastAsia="宋体" w:hAnsi="Times New Roman" w:cs="Times New Roman"/>
          <w:b/>
          <w:bCs/>
          <w:sz w:val="24"/>
          <w:szCs w:val="28"/>
        </w:rPr>
      </w:pPr>
      <w:bookmarkStart w:id="0" w:name="OLE_LINK1"/>
      <w:r w:rsidRPr="00082425">
        <w:rPr>
          <w:rFonts w:ascii="Times New Roman" w:eastAsia="宋体" w:hAnsi="Times New Roman" w:cs="Times New Roman"/>
          <w:b/>
          <w:bCs/>
          <w:sz w:val="24"/>
          <w:szCs w:val="28"/>
        </w:rPr>
        <w:t>DIGESTIVE CARE</w:t>
      </w:r>
      <w:r w:rsidR="00E64CE0" w:rsidRPr="00082425">
        <w:rPr>
          <w:rFonts w:ascii="Times New Roman" w:eastAsia="宋体" w:hAnsi="Times New Roman" w:cs="Times New Roman"/>
          <w:b/>
          <w:bCs/>
          <w:sz w:val="24"/>
          <w:szCs w:val="28"/>
        </w:rPr>
        <w:t>的化</w:t>
      </w:r>
      <w:r w:rsidR="002603DA" w:rsidRPr="00082425">
        <w:rPr>
          <w:rFonts w:ascii="Times New Roman" w:eastAsia="宋体" w:hAnsi="Times New Roman" w:cs="Times New Roman"/>
          <w:b/>
          <w:bCs/>
          <w:sz w:val="24"/>
          <w:szCs w:val="28"/>
        </w:rPr>
        <w:t>学</w:t>
      </w:r>
      <w:r w:rsidR="00E64CE0" w:rsidRPr="00082425">
        <w:rPr>
          <w:rFonts w:ascii="Times New Roman" w:eastAsia="宋体" w:hAnsi="Times New Roman" w:cs="Times New Roman"/>
          <w:b/>
          <w:bCs/>
          <w:sz w:val="24"/>
          <w:szCs w:val="28"/>
        </w:rPr>
        <w:t>成分鉴定</w:t>
      </w:r>
      <w:bookmarkEnd w:id="0"/>
      <w:r w:rsidR="00BC76F9">
        <w:rPr>
          <w:rFonts w:ascii="Times New Roman" w:eastAsia="宋体" w:hAnsi="Times New Roman" w:cs="Times New Roman" w:hint="eastAsia"/>
          <w:b/>
          <w:bCs/>
          <w:sz w:val="24"/>
          <w:szCs w:val="28"/>
        </w:rPr>
        <w:t>和定量</w:t>
      </w:r>
    </w:p>
    <w:p w14:paraId="295FB05B" w14:textId="77777777" w:rsidR="006313CF" w:rsidRPr="00082425" w:rsidRDefault="006313CF" w:rsidP="00D1410C">
      <w:pPr>
        <w:pStyle w:val="ListParagraph"/>
        <w:numPr>
          <w:ilvl w:val="0"/>
          <w:numId w:val="1"/>
        </w:numPr>
        <w:spacing w:line="360" w:lineRule="auto"/>
        <w:jc w:val="both"/>
        <w:rPr>
          <w:rFonts w:ascii="Times New Roman" w:eastAsia="宋体" w:hAnsi="Times New Roman" w:cs="Times New Roman"/>
          <w:b/>
          <w:bCs/>
        </w:rPr>
      </w:pPr>
      <w:r w:rsidRPr="00082425">
        <w:rPr>
          <w:rFonts w:ascii="Times New Roman" w:eastAsia="宋体" w:hAnsi="Times New Roman" w:cs="Times New Roman"/>
          <w:b/>
          <w:bCs/>
        </w:rPr>
        <w:t>实验目的</w:t>
      </w:r>
    </w:p>
    <w:p w14:paraId="440D107F" w14:textId="7B336951" w:rsidR="006313CF" w:rsidRPr="00BA2A8F" w:rsidRDefault="006313CF" w:rsidP="00BA2A8F">
      <w:pPr>
        <w:pStyle w:val="ListParagraph"/>
        <w:numPr>
          <w:ilvl w:val="0"/>
          <w:numId w:val="3"/>
        </w:numPr>
        <w:spacing w:line="360" w:lineRule="auto"/>
        <w:jc w:val="both"/>
        <w:rPr>
          <w:rFonts w:ascii="Times New Roman" w:eastAsia="宋体" w:hAnsi="Times New Roman" w:cs="Times New Roman"/>
        </w:rPr>
      </w:pPr>
      <w:r w:rsidRPr="00BA2A8F">
        <w:rPr>
          <w:rFonts w:ascii="Times New Roman" w:eastAsia="宋体" w:hAnsi="Times New Roman" w:cs="Times New Roman"/>
        </w:rPr>
        <w:t>使用</w:t>
      </w:r>
      <w:r w:rsidR="00BC76F9" w:rsidRPr="00BA2A8F">
        <w:rPr>
          <w:rFonts w:ascii="Times New Roman" w:eastAsia="宋体" w:hAnsi="Times New Roman" w:cs="Times New Roman" w:hint="eastAsia"/>
        </w:rPr>
        <w:t>高效</w:t>
      </w:r>
      <w:r w:rsidR="00BC76F9" w:rsidRPr="00BA2A8F">
        <w:rPr>
          <w:rFonts w:ascii="Times New Roman" w:eastAsia="宋体" w:hAnsi="Times New Roman" w:cs="Times New Roman"/>
        </w:rPr>
        <w:t>液相色谱</w:t>
      </w:r>
      <w:r w:rsidR="00BC76F9" w:rsidRPr="00BA2A8F">
        <w:rPr>
          <w:rFonts w:ascii="Times New Roman" w:eastAsia="宋体" w:hAnsi="Times New Roman" w:cs="Times New Roman"/>
        </w:rPr>
        <w:t>-</w:t>
      </w:r>
      <w:r w:rsidR="00BC76F9" w:rsidRPr="00BA2A8F">
        <w:rPr>
          <w:rFonts w:ascii="Times New Roman" w:eastAsia="宋体" w:hAnsi="Times New Roman" w:cs="Times New Roman"/>
        </w:rPr>
        <w:t>质谱联用</w:t>
      </w:r>
      <w:r w:rsidR="00BC76F9" w:rsidRPr="00BA2A8F">
        <w:rPr>
          <w:rFonts w:ascii="Times New Roman" w:eastAsia="宋体" w:hAnsi="Times New Roman" w:cs="Times New Roman" w:hint="eastAsia"/>
        </w:rPr>
        <w:t>（</w:t>
      </w:r>
      <w:r w:rsidR="00BC76F9" w:rsidRPr="00BA2A8F">
        <w:rPr>
          <w:rFonts w:ascii="Times New Roman" w:eastAsia="宋体" w:hAnsi="Times New Roman" w:cs="Times New Roman" w:hint="eastAsia"/>
        </w:rPr>
        <w:t>HPLC-MS</w:t>
      </w:r>
      <w:r w:rsidR="00BC76F9" w:rsidRPr="00BA2A8F">
        <w:rPr>
          <w:rFonts w:ascii="Times New Roman" w:eastAsia="宋体" w:hAnsi="Times New Roman" w:cs="Times New Roman" w:hint="eastAsia"/>
        </w:rPr>
        <w:t>）</w:t>
      </w:r>
      <w:r w:rsidR="00BC76F9" w:rsidRPr="00BA2A8F">
        <w:rPr>
          <w:rFonts w:ascii="Times New Roman" w:eastAsia="宋体" w:hAnsi="Times New Roman" w:cs="Times New Roman"/>
        </w:rPr>
        <w:t>技术</w:t>
      </w:r>
      <w:r w:rsidR="003B23FA" w:rsidRPr="00BA2A8F">
        <w:rPr>
          <w:rFonts w:ascii="Times New Roman" w:eastAsia="宋体" w:hAnsi="Times New Roman" w:cs="Times New Roman"/>
        </w:rPr>
        <w:t>对</w:t>
      </w:r>
      <w:r w:rsidR="00AE72FA" w:rsidRPr="00BA2A8F">
        <w:rPr>
          <w:rFonts w:ascii="Times New Roman" w:eastAsia="宋体" w:hAnsi="Times New Roman" w:cs="Times New Roman"/>
        </w:rPr>
        <w:t>DIGESTIVE CARE</w:t>
      </w:r>
      <w:r w:rsidRPr="00BA2A8F">
        <w:rPr>
          <w:rFonts w:ascii="Times New Roman" w:eastAsia="宋体" w:hAnsi="Times New Roman" w:cs="Times New Roman"/>
        </w:rPr>
        <w:t>的</w:t>
      </w:r>
      <w:r w:rsidR="00BA2A8F" w:rsidRPr="00BA2A8F">
        <w:rPr>
          <w:rFonts w:ascii="Times New Roman" w:eastAsia="宋体" w:hAnsi="Times New Roman" w:cs="Times New Roman" w:hint="eastAsia"/>
        </w:rPr>
        <w:t>主要</w:t>
      </w:r>
      <w:r w:rsidRPr="00BA2A8F">
        <w:rPr>
          <w:rFonts w:ascii="Times New Roman" w:eastAsia="宋体" w:hAnsi="Times New Roman" w:cs="Times New Roman"/>
        </w:rPr>
        <w:t>化学成分</w:t>
      </w:r>
      <w:r w:rsidR="00D84388" w:rsidRPr="00BA2A8F">
        <w:rPr>
          <w:rFonts w:ascii="Times New Roman" w:eastAsia="宋体" w:hAnsi="Times New Roman" w:cs="Times New Roman"/>
        </w:rPr>
        <w:t>进行</w:t>
      </w:r>
      <w:r w:rsidR="000D09F3" w:rsidRPr="00BA2A8F">
        <w:rPr>
          <w:rFonts w:ascii="Times New Roman" w:eastAsia="宋体" w:hAnsi="Times New Roman" w:cs="Times New Roman"/>
        </w:rPr>
        <w:t>定性</w:t>
      </w:r>
      <w:r w:rsidR="003B23FA" w:rsidRPr="00BA2A8F">
        <w:rPr>
          <w:rFonts w:ascii="Times New Roman" w:eastAsia="宋体" w:hAnsi="Times New Roman" w:cs="Times New Roman"/>
        </w:rPr>
        <w:t>和定量分析</w:t>
      </w:r>
      <w:r w:rsidR="00E64CE0" w:rsidRPr="00BA2A8F">
        <w:rPr>
          <w:rFonts w:ascii="Times New Roman" w:eastAsia="宋体" w:hAnsi="Times New Roman" w:cs="Times New Roman"/>
        </w:rPr>
        <w:t>。</w:t>
      </w:r>
    </w:p>
    <w:p w14:paraId="318FF83F" w14:textId="75614DEF" w:rsidR="00BA2A8F" w:rsidRPr="00BA2A8F" w:rsidRDefault="00BA2A8F" w:rsidP="00BA2A8F">
      <w:pPr>
        <w:pStyle w:val="ListParagraph"/>
        <w:numPr>
          <w:ilvl w:val="0"/>
          <w:numId w:val="3"/>
        </w:numPr>
        <w:spacing w:line="360" w:lineRule="auto"/>
        <w:jc w:val="both"/>
        <w:rPr>
          <w:rFonts w:ascii="Times New Roman" w:eastAsia="宋体" w:hAnsi="Times New Roman" w:cs="Times New Roman"/>
        </w:rPr>
      </w:pPr>
      <w:r>
        <w:rPr>
          <w:rFonts w:ascii="Times New Roman" w:eastAsia="宋体" w:hAnsi="Times New Roman" w:cs="Times New Roman" w:hint="eastAsia"/>
        </w:rPr>
        <w:t>使用紫外分光光度法</w:t>
      </w:r>
      <w:r w:rsidR="003D163D">
        <w:rPr>
          <w:rFonts w:ascii="Times New Roman" w:eastAsia="宋体" w:hAnsi="Times New Roman" w:cs="Times New Roman" w:hint="eastAsia"/>
        </w:rPr>
        <w:t>对</w:t>
      </w:r>
      <w:r w:rsidR="003D163D" w:rsidRPr="00BA2A8F">
        <w:rPr>
          <w:rFonts w:ascii="Times New Roman" w:eastAsia="宋体" w:hAnsi="Times New Roman" w:cs="Times New Roman"/>
        </w:rPr>
        <w:t>DIGESTIVE CARE</w:t>
      </w:r>
      <w:r w:rsidR="003D163D">
        <w:rPr>
          <w:rFonts w:ascii="Times New Roman" w:eastAsia="宋体" w:hAnsi="Times New Roman" w:cs="Times New Roman" w:hint="eastAsia"/>
        </w:rPr>
        <w:t>的总多糖、总蛋白、总多酚和总黄酮的含量进行测定。</w:t>
      </w:r>
    </w:p>
    <w:p w14:paraId="1F24CFC3" w14:textId="2D065E09" w:rsidR="00A94B43" w:rsidRDefault="00A94B43" w:rsidP="00D1410C">
      <w:pPr>
        <w:spacing w:line="360" w:lineRule="auto"/>
        <w:jc w:val="both"/>
        <w:rPr>
          <w:rFonts w:ascii="Times New Roman" w:eastAsia="宋体" w:hAnsi="Times New Roman" w:cs="Times New Roman"/>
          <w:b/>
          <w:bCs/>
        </w:rPr>
      </w:pPr>
      <w:r w:rsidRPr="00A94B43">
        <w:rPr>
          <w:rFonts w:ascii="Times New Roman" w:eastAsia="宋体" w:hAnsi="Times New Roman" w:cs="Times New Roman" w:hint="eastAsia"/>
          <w:b/>
          <w:bCs/>
        </w:rPr>
        <w:t>二．实验方法</w:t>
      </w:r>
    </w:p>
    <w:p w14:paraId="3928E4BE" w14:textId="69529B8D" w:rsidR="00A94B43" w:rsidRPr="00643079" w:rsidRDefault="00823C26" w:rsidP="00643079">
      <w:pPr>
        <w:pStyle w:val="ListParagraph"/>
        <w:numPr>
          <w:ilvl w:val="0"/>
          <w:numId w:val="4"/>
        </w:numPr>
        <w:spacing w:line="360" w:lineRule="auto"/>
        <w:jc w:val="both"/>
        <w:rPr>
          <w:rFonts w:ascii="Times New Roman" w:eastAsia="宋体" w:hAnsi="Times New Roman" w:cs="Times New Roman"/>
          <w:b/>
          <w:bCs/>
        </w:rPr>
      </w:pPr>
      <w:r w:rsidRPr="00643079">
        <w:rPr>
          <w:rFonts w:ascii="Times New Roman" w:eastAsia="宋体" w:hAnsi="Times New Roman" w:cs="Times New Roman"/>
          <w:b/>
          <w:bCs/>
        </w:rPr>
        <w:t>DIGESTIVE CARE</w:t>
      </w:r>
      <w:r w:rsidRPr="00643079">
        <w:rPr>
          <w:rFonts w:ascii="Times New Roman" w:eastAsia="宋体" w:hAnsi="Times New Roman" w:cs="Times New Roman"/>
          <w:b/>
          <w:bCs/>
        </w:rPr>
        <w:t>的</w:t>
      </w:r>
      <w:r w:rsidR="003D163D" w:rsidRPr="00643079">
        <w:rPr>
          <w:rFonts w:ascii="Times New Roman" w:eastAsia="宋体" w:hAnsi="Times New Roman" w:cs="Times New Roman" w:hint="eastAsia"/>
          <w:b/>
          <w:bCs/>
        </w:rPr>
        <w:t>主要</w:t>
      </w:r>
      <w:r w:rsidRPr="00643079">
        <w:rPr>
          <w:rFonts w:ascii="Times New Roman" w:eastAsia="宋体" w:hAnsi="Times New Roman" w:cs="Times New Roman"/>
          <w:b/>
          <w:bCs/>
        </w:rPr>
        <w:t>化学成分鉴定</w:t>
      </w:r>
      <w:r w:rsidR="00BA2A8F" w:rsidRPr="00643079">
        <w:rPr>
          <w:rFonts w:ascii="Times New Roman" w:eastAsia="宋体" w:hAnsi="Times New Roman" w:cs="Times New Roman" w:hint="eastAsia"/>
          <w:b/>
          <w:bCs/>
        </w:rPr>
        <w:t>和</w:t>
      </w:r>
      <w:r w:rsidR="00643079" w:rsidRPr="00643079">
        <w:rPr>
          <w:rFonts w:ascii="Times New Roman" w:eastAsia="宋体" w:hAnsi="Times New Roman" w:cs="Times New Roman" w:hint="eastAsia"/>
          <w:b/>
          <w:bCs/>
        </w:rPr>
        <w:t>定量</w:t>
      </w:r>
    </w:p>
    <w:p w14:paraId="3D321610" w14:textId="1CCFFDB0" w:rsidR="00643079" w:rsidRDefault="00BA2927" w:rsidP="00BA2927">
      <w:pPr>
        <w:pStyle w:val="ListParagraph"/>
        <w:numPr>
          <w:ilvl w:val="1"/>
          <w:numId w:val="4"/>
        </w:numPr>
        <w:spacing w:line="360" w:lineRule="auto"/>
        <w:jc w:val="both"/>
        <w:rPr>
          <w:rFonts w:ascii="Times New Roman" w:eastAsia="宋体" w:hAnsi="Times New Roman" w:cs="Times New Roman"/>
          <w:b/>
          <w:bCs/>
        </w:rPr>
      </w:pPr>
      <w:r w:rsidRPr="00BA2927">
        <w:rPr>
          <w:rFonts w:ascii="Times New Roman" w:eastAsia="宋体" w:hAnsi="Times New Roman" w:cs="Times New Roman"/>
          <w:b/>
          <w:bCs/>
        </w:rPr>
        <w:t>DIGESTIVE CARE</w:t>
      </w:r>
      <w:r w:rsidRPr="00BA2927">
        <w:rPr>
          <w:rFonts w:ascii="Times New Roman" w:eastAsia="宋体" w:hAnsi="Times New Roman" w:cs="Times New Roman"/>
          <w:b/>
          <w:bCs/>
        </w:rPr>
        <w:t>样品制备</w:t>
      </w:r>
    </w:p>
    <w:p w14:paraId="1275A137" w14:textId="469805DE" w:rsidR="00BA2927" w:rsidRPr="00BA2927" w:rsidRDefault="00BA2927" w:rsidP="00BA2927">
      <w:pPr>
        <w:rPr>
          <w:rFonts w:ascii="Times New Roman" w:eastAsia="宋体" w:hAnsi="Times New Roman" w:cs="Times New Roman"/>
        </w:rPr>
      </w:pPr>
      <w:r w:rsidRPr="00BA2927">
        <w:rPr>
          <w:rFonts w:ascii="Times New Roman" w:eastAsia="宋体" w:hAnsi="Times New Roman" w:cs="Times New Roman"/>
        </w:rPr>
        <w:t>准确称取</w:t>
      </w:r>
      <w:r w:rsidRPr="00BA2927">
        <w:rPr>
          <w:rFonts w:ascii="Times New Roman" w:eastAsia="宋体" w:hAnsi="Times New Roman" w:cs="Times New Roman"/>
        </w:rPr>
        <w:t>10</w:t>
      </w:r>
      <w:r w:rsidRPr="00BA2927">
        <w:rPr>
          <w:rFonts w:ascii="Times New Roman" w:eastAsia="宋体" w:hAnsi="Times New Roman" w:cs="Times New Roman"/>
        </w:rPr>
        <w:t>批</w:t>
      </w:r>
      <w:r w:rsidRPr="00BA2927">
        <w:rPr>
          <w:rFonts w:ascii="Times New Roman" w:eastAsia="宋体" w:hAnsi="Times New Roman" w:cs="Times New Roman"/>
        </w:rPr>
        <w:t>DIGESTIVE CARE</w:t>
      </w:r>
      <w:r w:rsidRPr="00BA2927">
        <w:rPr>
          <w:rFonts w:ascii="Times New Roman" w:eastAsia="宋体" w:hAnsi="Times New Roman" w:cs="Times New Roman"/>
        </w:rPr>
        <w:t>样品，每批</w:t>
      </w:r>
      <w:r w:rsidRPr="00BA2927">
        <w:rPr>
          <w:rFonts w:ascii="Times New Roman" w:eastAsia="宋体" w:hAnsi="Times New Roman" w:cs="Times New Roman"/>
        </w:rPr>
        <w:t>1.0g</w:t>
      </w:r>
      <w:r w:rsidRPr="00BA2927">
        <w:rPr>
          <w:rFonts w:ascii="Times New Roman" w:eastAsia="宋体" w:hAnsi="Times New Roman" w:cs="Times New Roman"/>
        </w:rPr>
        <w:t>，进行平行试验。分别向每批样品中精密加入色谱甲醇</w:t>
      </w:r>
      <w:r w:rsidRPr="00BA2927">
        <w:rPr>
          <w:rFonts w:ascii="Times New Roman" w:eastAsia="宋体" w:hAnsi="Times New Roman" w:cs="Times New Roman"/>
        </w:rPr>
        <w:t>10 mL</w:t>
      </w:r>
      <w:r w:rsidRPr="00BA2927">
        <w:rPr>
          <w:rFonts w:ascii="Times New Roman" w:eastAsia="宋体" w:hAnsi="Times New Roman" w:cs="Times New Roman"/>
        </w:rPr>
        <w:t>，超声提取</w:t>
      </w:r>
      <w:r w:rsidRPr="00BA2927">
        <w:rPr>
          <w:rFonts w:ascii="Times New Roman" w:eastAsia="宋体" w:hAnsi="Times New Roman" w:cs="Times New Roman"/>
        </w:rPr>
        <w:t>2</w:t>
      </w:r>
      <w:r w:rsidRPr="00BA2927">
        <w:rPr>
          <w:rFonts w:ascii="Times New Roman" w:eastAsia="宋体" w:hAnsi="Times New Roman" w:cs="Times New Roman"/>
        </w:rPr>
        <w:t>小时。提取液静置澄清后，移取</w:t>
      </w:r>
      <w:r w:rsidRPr="00BA2927">
        <w:rPr>
          <w:rFonts w:ascii="Times New Roman" w:eastAsia="宋体" w:hAnsi="Times New Roman" w:cs="Times New Roman"/>
        </w:rPr>
        <w:t>1 mL</w:t>
      </w:r>
      <w:r w:rsidRPr="00BA2927">
        <w:rPr>
          <w:rFonts w:ascii="Times New Roman" w:eastAsia="宋体" w:hAnsi="Times New Roman" w:cs="Times New Roman"/>
        </w:rPr>
        <w:t>上清液，进行质谱分析。</w:t>
      </w:r>
    </w:p>
    <w:p w14:paraId="7CE94A30" w14:textId="6CDFAAD3" w:rsidR="00BA2927" w:rsidRDefault="00BA2927" w:rsidP="00BA2927">
      <w:pPr>
        <w:pStyle w:val="ListParagraph"/>
        <w:numPr>
          <w:ilvl w:val="1"/>
          <w:numId w:val="4"/>
        </w:numPr>
        <w:spacing w:line="360" w:lineRule="auto"/>
        <w:jc w:val="both"/>
        <w:rPr>
          <w:rFonts w:ascii="Times New Roman" w:eastAsia="宋体" w:hAnsi="Times New Roman" w:cs="Times New Roman"/>
          <w:b/>
          <w:bCs/>
        </w:rPr>
      </w:pPr>
      <w:r w:rsidRPr="00BA2927">
        <w:rPr>
          <w:rFonts w:ascii="Times New Roman" w:eastAsia="宋体" w:hAnsi="Times New Roman" w:cs="Times New Roman"/>
          <w:b/>
          <w:bCs/>
        </w:rPr>
        <w:t>DIGESTIVE CARE</w:t>
      </w:r>
      <w:r>
        <w:rPr>
          <w:rFonts w:ascii="Times New Roman" w:eastAsia="宋体" w:hAnsi="Times New Roman" w:cs="Times New Roman" w:hint="eastAsia"/>
          <w:b/>
          <w:bCs/>
        </w:rPr>
        <w:t>主要</w:t>
      </w:r>
      <w:r w:rsidRPr="00BA2927">
        <w:rPr>
          <w:rFonts w:ascii="Times New Roman" w:eastAsia="宋体" w:hAnsi="Times New Roman" w:cs="Times New Roman"/>
          <w:b/>
          <w:bCs/>
        </w:rPr>
        <w:t>化学成分标准品制备</w:t>
      </w:r>
    </w:p>
    <w:p w14:paraId="45AA5280" w14:textId="77777777" w:rsidR="00E72119" w:rsidRDefault="00E72119" w:rsidP="00E72119">
      <w:pPr>
        <w:spacing w:line="360" w:lineRule="auto"/>
        <w:jc w:val="both"/>
        <w:rPr>
          <w:rFonts w:ascii="Times New Roman" w:eastAsia="宋体" w:hAnsi="Times New Roman" w:cs="Times New Roman"/>
        </w:rPr>
      </w:pPr>
      <w:r w:rsidRPr="00E72119">
        <w:rPr>
          <w:rFonts w:ascii="Times New Roman" w:eastAsia="宋体" w:hAnsi="Times New Roman" w:cs="Times New Roman"/>
        </w:rPr>
        <w:t>将购买的标准品用甲醇溶解并稀释成</w:t>
      </w:r>
      <w:r w:rsidRPr="00E72119">
        <w:rPr>
          <w:rFonts w:ascii="Times New Roman" w:eastAsia="宋体" w:hAnsi="Times New Roman" w:cs="Times New Roman"/>
        </w:rPr>
        <w:t>12</w:t>
      </w:r>
      <w:r w:rsidRPr="00E72119">
        <w:rPr>
          <w:rFonts w:ascii="Times New Roman" w:eastAsia="宋体" w:hAnsi="Times New Roman" w:cs="Times New Roman"/>
        </w:rPr>
        <w:t>个不同的浓度，进行质谱分析。</w:t>
      </w:r>
    </w:p>
    <w:p w14:paraId="70896F6F" w14:textId="57672526" w:rsidR="006658AD" w:rsidRDefault="006658AD" w:rsidP="006658AD">
      <w:pPr>
        <w:pStyle w:val="ListParagraph"/>
        <w:numPr>
          <w:ilvl w:val="1"/>
          <w:numId w:val="4"/>
        </w:numPr>
        <w:spacing w:line="360" w:lineRule="auto"/>
        <w:jc w:val="both"/>
        <w:rPr>
          <w:rFonts w:ascii="Times New Roman" w:eastAsia="宋体" w:hAnsi="Times New Roman" w:cs="Times New Roman"/>
          <w:b/>
          <w:bCs/>
        </w:rPr>
      </w:pPr>
      <w:r w:rsidRPr="006658AD">
        <w:rPr>
          <w:rFonts w:ascii="Times New Roman" w:eastAsia="宋体" w:hAnsi="Times New Roman" w:cs="Times New Roman"/>
          <w:b/>
          <w:bCs/>
        </w:rPr>
        <w:t>高效液相色谱</w:t>
      </w:r>
      <w:r w:rsidRPr="006658AD">
        <w:rPr>
          <w:rFonts w:ascii="Times New Roman" w:eastAsia="宋体" w:hAnsi="Times New Roman" w:cs="Times New Roman"/>
          <w:b/>
          <w:bCs/>
        </w:rPr>
        <w:t>-</w:t>
      </w:r>
      <w:r w:rsidRPr="006658AD">
        <w:rPr>
          <w:rFonts w:ascii="Times New Roman" w:eastAsia="宋体" w:hAnsi="Times New Roman" w:cs="Times New Roman"/>
          <w:b/>
          <w:bCs/>
        </w:rPr>
        <w:t>质谱</w:t>
      </w:r>
      <w:r>
        <w:rPr>
          <w:rFonts w:ascii="Times New Roman" w:eastAsia="宋体" w:hAnsi="Times New Roman" w:cs="Times New Roman" w:hint="eastAsia"/>
          <w:b/>
          <w:bCs/>
        </w:rPr>
        <w:t>联用仪</w:t>
      </w:r>
      <w:r w:rsidR="00DB69DA">
        <w:rPr>
          <w:rFonts w:ascii="Times New Roman" w:eastAsia="宋体" w:hAnsi="Times New Roman" w:cs="Times New Roman" w:hint="eastAsia"/>
          <w:b/>
          <w:bCs/>
        </w:rPr>
        <w:t>定性和定量</w:t>
      </w:r>
      <w:r>
        <w:rPr>
          <w:rFonts w:ascii="Times New Roman" w:eastAsia="宋体" w:hAnsi="Times New Roman" w:cs="Times New Roman" w:hint="eastAsia"/>
          <w:b/>
          <w:bCs/>
        </w:rPr>
        <w:t>条件</w:t>
      </w:r>
    </w:p>
    <w:p w14:paraId="22F5BDCA" w14:textId="37A98DCD" w:rsidR="006658AD" w:rsidRDefault="004F4D05" w:rsidP="004F4D05">
      <w:pPr>
        <w:jc w:val="both"/>
        <w:rPr>
          <w:rFonts w:ascii="Times New Roman" w:eastAsia="宋体" w:hAnsi="Times New Roman" w:cs="Times New Roman"/>
        </w:rPr>
      </w:pPr>
      <w:r>
        <w:rPr>
          <w:rFonts w:ascii="Times New Roman" w:eastAsia="宋体" w:hAnsi="Times New Roman" w:cs="Times New Roman" w:hint="eastAsia"/>
        </w:rPr>
        <w:t>高效</w:t>
      </w:r>
      <w:r w:rsidRPr="004F4D05">
        <w:rPr>
          <w:rFonts w:ascii="Times New Roman" w:eastAsia="宋体" w:hAnsi="Times New Roman" w:cs="Times New Roman"/>
        </w:rPr>
        <w:t>液相色谱（</w:t>
      </w:r>
      <w:r w:rsidRPr="004F4D05">
        <w:rPr>
          <w:rFonts w:ascii="Times New Roman" w:eastAsia="宋体" w:hAnsi="Times New Roman" w:cs="Times New Roman"/>
        </w:rPr>
        <w:t>HPLC</w:t>
      </w:r>
      <w:r w:rsidRPr="004F4D05">
        <w:rPr>
          <w:rFonts w:ascii="Times New Roman" w:eastAsia="宋体" w:hAnsi="Times New Roman" w:cs="Times New Roman"/>
        </w:rPr>
        <w:t>）分析采用</w:t>
      </w:r>
      <w:r w:rsidRPr="004F4D05">
        <w:rPr>
          <w:rFonts w:ascii="Times New Roman" w:eastAsia="宋体" w:hAnsi="Times New Roman" w:cs="Times New Roman"/>
        </w:rPr>
        <w:t>UltiMate 3000</w:t>
      </w:r>
      <w:r w:rsidRPr="004F4D05">
        <w:rPr>
          <w:rFonts w:ascii="Times New Roman" w:eastAsia="宋体" w:hAnsi="Times New Roman" w:cs="Times New Roman"/>
        </w:rPr>
        <w:t>系统（</w:t>
      </w:r>
      <w:r w:rsidRPr="004F4D05">
        <w:rPr>
          <w:rFonts w:ascii="Times New Roman" w:eastAsia="宋体" w:hAnsi="Times New Roman" w:cs="Times New Roman"/>
        </w:rPr>
        <w:t>Thermo Fisher Scientific, CA, USA</w:t>
      </w:r>
      <w:r w:rsidRPr="004F4D05">
        <w:rPr>
          <w:rFonts w:ascii="Times New Roman" w:eastAsia="宋体" w:hAnsi="Times New Roman" w:cs="Times New Roman"/>
        </w:rPr>
        <w:t>），色谱柱为</w:t>
      </w:r>
      <w:r w:rsidRPr="004F4D05">
        <w:rPr>
          <w:rFonts w:ascii="Times New Roman" w:eastAsia="宋体" w:hAnsi="Times New Roman" w:cs="Times New Roman"/>
        </w:rPr>
        <w:t>AQ C18 (1.9μm</w:t>
      </w:r>
      <w:r w:rsidRPr="004F4D05">
        <w:rPr>
          <w:rFonts w:ascii="Times New Roman" w:eastAsia="宋体" w:hAnsi="Times New Roman" w:cs="Times New Roman"/>
        </w:rPr>
        <w:t>，</w:t>
      </w:r>
      <w:r w:rsidRPr="004F4D05">
        <w:rPr>
          <w:rFonts w:ascii="Times New Roman" w:eastAsia="宋体" w:hAnsi="Times New Roman" w:cs="Times New Roman"/>
        </w:rPr>
        <w:t>2.1mm×100mm)</w:t>
      </w:r>
      <w:r w:rsidRPr="004F4D05">
        <w:rPr>
          <w:rFonts w:ascii="Times New Roman" w:eastAsia="宋体" w:hAnsi="Times New Roman" w:cs="Times New Roman"/>
        </w:rPr>
        <w:t>。液相流速为</w:t>
      </w:r>
      <w:r w:rsidRPr="004F4D05">
        <w:rPr>
          <w:rFonts w:ascii="Times New Roman" w:eastAsia="宋体" w:hAnsi="Times New Roman" w:cs="Times New Roman"/>
        </w:rPr>
        <w:t xml:space="preserve"> 0.3 mL/min</w:t>
      </w:r>
      <w:r w:rsidRPr="004F4D05">
        <w:rPr>
          <w:rFonts w:ascii="Times New Roman" w:eastAsia="宋体" w:hAnsi="Times New Roman" w:cs="Times New Roman"/>
        </w:rPr>
        <w:t>，</w:t>
      </w:r>
      <w:proofErr w:type="gramStart"/>
      <w:r w:rsidRPr="004F4D05">
        <w:rPr>
          <w:rFonts w:ascii="Times New Roman" w:eastAsia="宋体" w:hAnsi="Times New Roman" w:cs="Times New Roman"/>
        </w:rPr>
        <w:t>进样量为</w:t>
      </w:r>
      <w:proofErr w:type="gramEnd"/>
      <w:r w:rsidRPr="004F4D05">
        <w:rPr>
          <w:rFonts w:ascii="Times New Roman" w:eastAsia="宋体" w:hAnsi="Times New Roman" w:cs="Times New Roman"/>
        </w:rPr>
        <w:t xml:space="preserve"> 3 μL</w:t>
      </w:r>
      <w:r w:rsidRPr="004F4D05">
        <w:rPr>
          <w:rFonts w:ascii="Times New Roman" w:eastAsia="宋体" w:hAnsi="Times New Roman" w:cs="Times New Roman"/>
        </w:rPr>
        <w:t>。流动相采用</w:t>
      </w:r>
      <w:r w:rsidRPr="004F4D05">
        <w:rPr>
          <w:rFonts w:ascii="Times New Roman" w:eastAsia="宋体" w:hAnsi="Times New Roman" w:cs="Times New Roman"/>
        </w:rPr>
        <w:t>0.1%</w:t>
      </w:r>
      <w:r w:rsidRPr="004F4D05">
        <w:rPr>
          <w:rFonts w:ascii="Times New Roman" w:eastAsia="宋体" w:hAnsi="Times New Roman" w:cs="Times New Roman"/>
        </w:rPr>
        <w:t>乙腈（</w:t>
      </w:r>
      <w:r w:rsidRPr="004F4D05">
        <w:rPr>
          <w:rFonts w:ascii="Times New Roman" w:eastAsia="宋体" w:hAnsi="Times New Roman" w:cs="Times New Roman"/>
        </w:rPr>
        <w:t>A</w:t>
      </w:r>
      <w:r w:rsidRPr="004F4D05">
        <w:rPr>
          <w:rFonts w:ascii="Times New Roman" w:eastAsia="宋体" w:hAnsi="Times New Roman" w:cs="Times New Roman"/>
        </w:rPr>
        <w:t>）</w:t>
      </w:r>
      <w:r w:rsidRPr="004F4D05">
        <w:rPr>
          <w:rFonts w:ascii="Times New Roman" w:eastAsia="宋体" w:hAnsi="Times New Roman" w:cs="Times New Roman"/>
        </w:rPr>
        <w:t>-0.1%</w:t>
      </w:r>
      <w:r w:rsidRPr="004F4D05">
        <w:rPr>
          <w:rFonts w:ascii="Times New Roman" w:eastAsia="宋体" w:hAnsi="Times New Roman" w:cs="Times New Roman"/>
        </w:rPr>
        <w:t>甲酸</w:t>
      </w:r>
      <w:r w:rsidRPr="004F4D05">
        <w:rPr>
          <w:rFonts w:ascii="Times New Roman" w:eastAsia="宋体" w:hAnsi="Times New Roman" w:cs="Times New Roman"/>
        </w:rPr>
        <w:t>/</w:t>
      </w:r>
      <w:r w:rsidRPr="004F4D05">
        <w:rPr>
          <w:rFonts w:ascii="Times New Roman" w:eastAsia="宋体" w:hAnsi="Times New Roman" w:cs="Times New Roman"/>
        </w:rPr>
        <w:t>水（</w:t>
      </w:r>
      <w:r w:rsidRPr="004F4D05">
        <w:rPr>
          <w:rFonts w:ascii="Times New Roman" w:eastAsia="宋体" w:hAnsi="Times New Roman" w:cs="Times New Roman"/>
        </w:rPr>
        <w:t>B</w:t>
      </w:r>
      <w:r w:rsidRPr="004F4D05">
        <w:rPr>
          <w:rFonts w:ascii="Times New Roman" w:eastAsia="宋体" w:hAnsi="Times New Roman" w:cs="Times New Roman"/>
        </w:rPr>
        <w:t>）。溶液的梯度洗脱程序，见表</w:t>
      </w:r>
      <w:r w:rsidRPr="004F4D05">
        <w:rPr>
          <w:rFonts w:ascii="Times New Roman" w:eastAsia="宋体" w:hAnsi="Times New Roman" w:cs="Times New Roman"/>
        </w:rPr>
        <w:t>1</w:t>
      </w:r>
      <w:r w:rsidRPr="004F4D05">
        <w:rPr>
          <w:rFonts w:ascii="Times New Roman" w:eastAsia="宋体" w:hAnsi="Times New Roman" w:cs="Times New Roman"/>
        </w:rPr>
        <w:t>。紫外吸收检测波长选用</w:t>
      </w:r>
      <w:r w:rsidRPr="004F4D05">
        <w:rPr>
          <w:rFonts w:ascii="Times New Roman" w:eastAsia="宋体" w:hAnsi="Times New Roman" w:cs="Times New Roman"/>
        </w:rPr>
        <w:t>210</w:t>
      </w:r>
      <w:r w:rsidRPr="004F4D05">
        <w:rPr>
          <w:rFonts w:ascii="Times New Roman" w:eastAsia="宋体" w:hAnsi="Times New Roman" w:cs="Times New Roman"/>
        </w:rPr>
        <w:t>，</w:t>
      </w:r>
      <w:r w:rsidRPr="004F4D05">
        <w:rPr>
          <w:rFonts w:ascii="Times New Roman" w:eastAsia="宋体" w:hAnsi="Times New Roman" w:cs="Times New Roman"/>
        </w:rPr>
        <w:t>254</w:t>
      </w:r>
      <w:r w:rsidRPr="004F4D05">
        <w:rPr>
          <w:rFonts w:ascii="Times New Roman" w:eastAsia="宋体" w:hAnsi="Times New Roman" w:cs="Times New Roman"/>
        </w:rPr>
        <w:t>，</w:t>
      </w:r>
      <w:r w:rsidRPr="004F4D05">
        <w:rPr>
          <w:rFonts w:ascii="Times New Roman" w:eastAsia="宋体" w:hAnsi="Times New Roman" w:cs="Times New Roman"/>
        </w:rPr>
        <w:t>280</w:t>
      </w:r>
      <w:r w:rsidRPr="004F4D05">
        <w:rPr>
          <w:rFonts w:ascii="Times New Roman" w:eastAsia="宋体" w:hAnsi="Times New Roman" w:cs="Times New Roman"/>
        </w:rPr>
        <w:t>，</w:t>
      </w:r>
      <w:r w:rsidRPr="004F4D05">
        <w:rPr>
          <w:rFonts w:ascii="Times New Roman" w:eastAsia="宋体" w:hAnsi="Times New Roman" w:cs="Times New Roman"/>
        </w:rPr>
        <w:t>365 nm</w:t>
      </w:r>
      <w:r w:rsidRPr="004F4D05">
        <w:rPr>
          <w:rFonts w:ascii="Times New Roman" w:eastAsia="宋体" w:hAnsi="Times New Roman" w:cs="Times New Roman"/>
        </w:rPr>
        <w:t>。</w:t>
      </w:r>
    </w:p>
    <w:p w14:paraId="1F8A0983" w14:textId="77777777" w:rsidR="004F4D05" w:rsidRPr="00082425" w:rsidRDefault="004F4D05" w:rsidP="004F4D05">
      <w:pPr>
        <w:spacing w:line="360" w:lineRule="auto"/>
        <w:jc w:val="center"/>
        <w:rPr>
          <w:rFonts w:ascii="Times New Roman" w:eastAsia="宋体" w:hAnsi="Times New Roman" w:cs="Times New Roman"/>
        </w:rPr>
      </w:pPr>
      <w:r w:rsidRPr="00082425">
        <w:rPr>
          <w:rFonts w:ascii="Times New Roman" w:eastAsia="宋体" w:hAnsi="Times New Roman" w:cs="Times New Roman"/>
          <w:b/>
          <w:bCs/>
        </w:rPr>
        <w:t>表</w:t>
      </w:r>
      <w:r w:rsidRPr="00082425">
        <w:rPr>
          <w:rFonts w:ascii="Times New Roman" w:eastAsia="宋体" w:hAnsi="Times New Roman" w:cs="Times New Roman"/>
          <w:b/>
          <w:bCs/>
        </w:rPr>
        <w:t>1</w:t>
      </w:r>
      <w:r w:rsidRPr="00082425">
        <w:rPr>
          <w:rFonts w:ascii="Times New Roman" w:eastAsia="宋体" w:hAnsi="Times New Roman" w:cs="Times New Roman"/>
        </w:rPr>
        <w:t xml:space="preserve"> </w:t>
      </w:r>
      <w:r w:rsidRPr="00082425">
        <w:rPr>
          <w:rFonts w:ascii="Times New Roman" w:eastAsia="宋体" w:hAnsi="Times New Roman" w:cs="Times New Roman"/>
        </w:rPr>
        <w:t>流动相洗脱程序</w:t>
      </w:r>
    </w:p>
    <w:tbl>
      <w:tblPr>
        <w:tblStyle w:val="a"/>
        <w:tblW w:w="5000" w:type="pct"/>
        <w:tblLook w:val="04A0" w:firstRow="1" w:lastRow="0" w:firstColumn="1" w:lastColumn="0" w:noHBand="0" w:noVBand="1"/>
      </w:tblPr>
      <w:tblGrid>
        <w:gridCol w:w="2063"/>
        <w:gridCol w:w="1665"/>
        <w:gridCol w:w="939"/>
        <w:gridCol w:w="1802"/>
        <w:gridCol w:w="1837"/>
      </w:tblGrid>
      <w:tr w:rsidR="004F4D05" w:rsidRPr="00082425" w14:paraId="2C3E02CC" w14:textId="77777777" w:rsidTr="009A7CBE">
        <w:trPr>
          <w:trHeight w:val="315"/>
        </w:trPr>
        <w:tc>
          <w:tcPr>
            <w:tcW w:w="1242" w:type="pct"/>
            <w:tcBorders>
              <w:bottom w:val="single" w:sz="6" w:space="0" w:color="auto"/>
            </w:tcBorders>
            <w:noWrap/>
          </w:tcPr>
          <w:p w14:paraId="0D9BA90E" w14:textId="77777777" w:rsidR="004F4D05" w:rsidRPr="00082425" w:rsidRDefault="004F4D05" w:rsidP="004F4D05">
            <w:pPr>
              <w:widowControl/>
              <w:spacing w:line="360" w:lineRule="exact"/>
              <w:jc w:val="center"/>
              <w:rPr>
                <w:rFonts w:cs="Times New Roman"/>
                <w:b/>
                <w:color w:val="000000"/>
                <w:kern w:val="0"/>
                <w:szCs w:val="24"/>
              </w:rPr>
            </w:pPr>
            <w:r w:rsidRPr="00082425">
              <w:rPr>
                <w:rFonts w:cs="Times New Roman"/>
                <w:b/>
                <w:color w:val="000000"/>
                <w:kern w:val="0"/>
                <w:szCs w:val="24"/>
              </w:rPr>
              <w:t>保留时间（</w:t>
            </w:r>
            <w:r w:rsidRPr="00082425">
              <w:rPr>
                <w:rFonts w:cs="Times New Roman"/>
                <w:b/>
                <w:color w:val="000000"/>
                <w:kern w:val="0"/>
                <w:szCs w:val="24"/>
              </w:rPr>
              <w:t>min</w:t>
            </w:r>
            <w:r w:rsidRPr="00082425">
              <w:rPr>
                <w:rFonts w:cs="Times New Roman"/>
                <w:b/>
                <w:color w:val="000000"/>
                <w:kern w:val="0"/>
                <w:szCs w:val="24"/>
              </w:rPr>
              <w:t>）</w:t>
            </w:r>
          </w:p>
        </w:tc>
        <w:tc>
          <w:tcPr>
            <w:tcW w:w="1002" w:type="pct"/>
            <w:tcBorders>
              <w:bottom w:val="single" w:sz="6" w:space="0" w:color="auto"/>
            </w:tcBorders>
          </w:tcPr>
          <w:p w14:paraId="27B135FC" w14:textId="77777777" w:rsidR="004F4D05" w:rsidRPr="00082425" w:rsidRDefault="004F4D05" w:rsidP="004F4D05">
            <w:pPr>
              <w:widowControl/>
              <w:spacing w:line="360" w:lineRule="exact"/>
              <w:jc w:val="center"/>
              <w:rPr>
                <w:rFonts w:cs="Times New Roman"/>
                <w:b/>
                <w:color w:val="000000"/>
                <w:kern w:val="0"/>
                <w:szCs w:val="24"/>
              </w:rPr>
            </w:pPr>
            <w:r w:rsidRPr="00082425">
              <w:rPr>
                <w:rFonts w:cs="Times New Roman"/>
                <w:b/>
                <w:color w:val="000000"/>
                <w:kern w:val="0"/>
                <w:szCs w:val="24"/>
              </w:rPr>
              <w:t>0.1%</w:t>
            </w:r>
            <w:r w:rsidRPr="00082425">
              <w:rPr>
                <w:rFonts w:cs="Times New Roman"/>
                <w:b/>
                <w:color w:val="000000"/>
                <w:kern w:val="0"/>
                <w:szCs w:val="24"/>
              </w:rPr>
              <w:t>甲酸水（</w:t>
            </w:r>
            <w:r w:rsidRPr="00082425">
              <w:rPr>
                <w:rFonts w:cs="Times New Roman"/>
                <w:b/>
                <w:color w:val="000000"/>
                <w:kern w:val="0"/>
                <w:szCs w:val="24"/>
              </w:rPr>
              <w:t>%</w:t>
            </w:r>
            <w:r w:rsidRPr="00082425">
              <w:rPr>
                <w:rFonts w:cs="Times New Roman"/>
                <w:b/>
                <w:color w:val="000000"/>
                <w:kern w:val="0"/>
                <w:szCs w:val="24"/>
              </w:rPr>
              <w:t>）</w:t>
            </w:r>
          </w:p>
        </w:tc>
        <w:tc>
          <w:tcPr>
            <w:tcW w:w="565" w:type="pct"/>
            <w:tcBorders>
              <w:bottom w:val="single" w:sz="6" w:space="0" w:color="auto"/>
            </w:tcBorders>
          </w:tcPr>
          <w:p w14:paraId="5470CB5A" w14:textId="77777777" w:rsidR="004F4D05" w:rsidRPr="00082425" w:rsidRDefault="004F4D05" w:rsidP="004F4D05">
            <w:pPr>
              <w:widowControl/>
              <w:spacing w:line="360" w:lineRule="exact"/>
              <w:jc w:val="center"/>
              <w:rPr>
                <w:rFonts w:cs="Times New Roman"/>
                <w:b/>
                <w:color w:val="000000"/>
                <w:kern w:val="0"/>
                <w:szCs w:val="24"/>
              </w:rPr>
            </w:pPr>
            <w:r w:rsidRPr="00082425">
              <w:rPr>
                <w:rFonts w:cs="Times New Roman"/>
                <w:b/>
                <w:color w:val="000000"/>
                <w:kern w:val="0"/>
                <w:szCs w:val="24"/>
              </w:rPr>
              <w:t>乙腈（</w:t>
            </w:r>
            <w:r w:rsidRPr="00082425">
              <w:rPr>
                <w:rFonts w:cs="Times New Roman"/>
                <w:b/>
                <w:color w:val="000000"/>
                <w:kern w:val="0"/>
                <w:szCs w:val="24"/>
              </w:rPr>
              <w:t>%</w:t>
            </w:r>
            <w:r w:rsidRPr="00082425">
              <w:rPr>
                <w:rFonts w:cs="Times New Roman"/>
                <w:b/>
                <w:color w:val="000000"/>
                <w:kern w:val="0"/>
                <w:szCs w:val="24"/>
              </w:rPr>
              <w:t>）</w:t>
            </w:r>
          </w:p>
        </w:tc>
        <w:tc>
          <w:tcPr>
            <w:tcW w:w="1085" w:type="pct"/>
            <w:tcBorders>
              <w:bottom w:val="single" w:sz="6" w:space="0" w:color="auto"/>
            </w:tcBorders>
            <w:noWrap/>
          </w:tcPr>
          <w:p w14:paraId="06362E7D" w14:textId="77777777" w:rsidR="004F4D05" w:rsidRPr="00082425" w:rsidRDefault="004F4D05" w:rsidP="004F4D05">
            <w:pPr>
              <w:widowControl/>
              <w:spacing w:line="360" w:lineRule="exact"/>
              <w:jc w:val="center"/>
              <w:rPr>
                <w:rFonts w:cs="Times New Roman"/>
                <w:b/>
                <w:color w:val="000000"/>
                <w:kern w:val="0"/>
                <w:szCs w:val="24"/>
              </w:rPr>
            </w:pPr>
            <w:r w:rsidRPr="00082425">
              <w:rPr>
                <w:rFonts w:cs="Times New Roman"/>
                <w:b/>
                <w:color w:val="000000"/>
                <w:kern w:val="0"/>
                <w:szCs w:val="24"/>
              </w:rPr>
              <w:t>流速</w:t>
            </w:r>
          </w:p>
          <w:p w14:paraId="67A22F60" w14:textId="77777777" w:rsidR="004F4D05" w:rsidRPr="00082425" w:rsidRDefault="004F4D05" w:rsidP="004F4D05">
            <w:pPr>
              <w:widowControl/>
              <w:spacing w:line="360" w:lineRule="exact"/>
              <w:jc w:val="center"/>
              <w:rPr>
                <w:rFonts w:cs="Times New Roman"/>
                <w:b/>
                <w:color w:val="000000"/>
                <w:kern w:val="0"/>
                <w:szCs w:val="24"/>
              </w:rPr>
            </w:pPr>
            <w:r w:rsidRPr="00082425">
              <w:rPr>
                <w:rFonts w:cs="Times New Roman"/>
                <w:b/>
                <w:color w:val="000000"/>
                <w:kern w:val="0"/>
                <w:szCs w:val="24"/>
              </w:rPr>
              <w:t>（</w:t>
            </w:r>
            <w:r w:rsidRPr="00082425">
              <w:rPr>
                <w:rFonts w:cs="Times New Roman"/>
                <w:b/>
                <w:color w:val="000000"/>
                <w:kern w:val="0"/>
                <w:szCs w:val="24"/>
              </w:rPr>
              <w:t>mL/min</w:t>
            </w:r>
            <w:r w:rsidRPr="00082425">
              <w:rPr>
                <w:rFonts w:cs="Times New Roman"/>
                <w:b/>
                <w:color w:val="000000"/>
                <w:kern w:val="0"/>
                <w:szCs w:val="24"/>
              </w:rPr>
              <w:t>）</w:t>
            </w:r>
          </w:p>
        </w:tc>
        <w:tc>
          <w:tcPr>
            <w:tcW w:w="1106" w:type="pct"/>
            <w:tcBorders>
              <w:bottom w:val="single" w:sz="6" w:space="0" w:color="auto"/>
            </w:tcBorders>
          </w:tcPr>
          <w:p w14:paraId="54005808" w14:textId="77777777" w:rsidR="004F4D05" w:rsidRPr="00082425" w:rsidRDefault="004F4D05" w:rsidP="004F4D05">
            <w:pPr>
              <w:widowControl/>
              <w:spacing w:line="360" w:lineRule="exact"/>
              <w:jc w:val="center"/>
              <w:rPr>
                <w:rFonts w:cs="Times New Roman"/>
                <w:b/>
                <w:color w:val="000000"/>
                <w:kern w:val="0"/>
                <w:szCs w:val="24"/>
              </w:rPr>
            </w:pPr>
            <w:r w:rsidRPr="00082425">
              <w:rPr>
                <w:rFonts w:cs="Times New Roman"/>
                <w:b/>
                <w:color w:val="000000"/>
                <w:kern w:val="0"/>
                <w:szCs w:val="24"/>
              </w:rPr>
              <w:t>柱温（</w:t>
            </w:r>
            <w:r w:rsidRPr="00082425">
              <w:rPr>
                <w:rFonts w:cs="Times New Roman"/>
                <w:color w:val="000000"/>
                <w:kern w:val="0"/>
                <w:szCs w:val="24"/>
              </w:rPr>
              <w:t>℃</w:t>
            </w:r>
            <w:r w:rsidRPr="00082425">
              <w:rPr>
                <w:rFonts w:cs="Times New Roman"/>
                <w:b/>
                <w:color w:val="000000"/>
                <w:kern w:val="0"/>
                <w:szCs w:val="24"/>
              </w:rPr>
              <w:t>）</w:t>
            </w:r>
          </w:p>
        </w:tc>
      </w:tr>
      <w:tr w:rsidR="004F4D05" w:rsidRPr="00082425" w14:paraId="6968FEA9" w14:textId="77777777" w:rsidTr="009A7CBE">
        <w:trPr>
          <w:trHeight w:val="285"/>
        </w:trPr>
        <w:tc>
          <w:tcPr>
            <w:tcW w:w="1242" w:type="pct"/>
            <w:tcBorders>
              <w:top w:val="single" w:sz="6" w:space="0" w:color="auto"/>
            </w:tcBorders>
            <w:noWrap/>
          </w:tcPr>
          <w:p w14:paraId="61FE286B" w14:textId="77777777" w:rsidR="004F4D05" w:rsidRPr="00082425" w:rsidRDefault="004F4D05" w:rsidP="004F4D05">
            <w:pPr>
              <w:spacing w:line="360" w:lineRule="exact"/>
              <w:jc w:val="center"/>
              <w:rPr>
                <w:rFonts w:cs="Times New Roman"/>
                <w:szCs w:val="24"/>
              </w:rPr>
            </w:pPr>
            <w:r w:rsidRPr="00082425">
              <w:rPr>
                <w:rFonts w:cs="Times New Roman"/>
                <w:szCs w:val="24"/>
              </w:rPr>
              <w:t>0.00</w:t>
            </w:r>
          </w:p>
        </w:tc>
        <w:tc>
          <w:tcPr>
            <w:tcW w:w="1002" w:type="pct"/>
            <w:tcBorders>
              <w:top w:val="single" w:sz="6" w:space="0" w:color="auto"/>
            </w:tcBorders>
          </w:tcPr>
          <w:p w14:paraId="6E6188AE" w14:textId="77777777" w:rsidR="004F4D05" w:rsidRPr="00082425" w:rsidRDefault="004F4D05" w:rsidP="004F4D05">
            <w:pPr>
              <w:spacing w:line="360" w:lineRule="exact"/>
              <w:jc w:val="center"/>
              <w:rPr>
                <w:rFonts w:cs="Times New Roman"/>
                <w:szCs w:val="24"/>
              </w:rPr>
            </w:pPr>
            <w:r w:rsidRPr="00082425">
              <w:rPr>
                <w:rFonts w:cs="Times New Roman"/>
                <w:szCs w:val="24"/>
              </w:rPr>
              <w:t>90</w:t>
            </w:r>
          </w:p>
        </w:tc>
        <w:tc>
          <w:tcPr>
            <w:tcW w:w="565" w:type="pct"/>
            <w:tcBorders>
              <w:top w:val="single" w:sz="6" w:space="0" w:color="auto"/>
            </w:tcBorders>
          </w:tcPr>
          <w:p w14:paraId="2EC5660F" w14:textId="77777777" w:rsidR="004F4D05" w:rsidRPr="00082425" w:rsidRDefault="004F4D05" w:rsidP="004F4D05">
            <w:pPr>
              <w:spacing w:line="360" w:lineRule="exact"/>
              <w:jc w:val="center"/>
              <w:rPr>
                <w:rFonts w:cs="Times New Roman"/>
                <w:szCs w:val="24"/>
              </w:rPr>
            </w:pPr>
            <w:r w:rsidRPr="00082425">
              <w:rPr>
                <w:rFonts w:cs="Times New Roman"/>
                <w:szCs w:val="24"/>
              </w:rPr>
              <w:t>10</w:t>
            </w:r>
          </w:p>
        </w:tc>
        <w:tc>
          <w:tcPr>
            <w:tcW w:w="1085" w:type="pct"/>
            <w:tcBorders>
              <w:top w:val="single" w:sz="6" w:space="0" w:color="auto"/>
            </w:tcBorders>
            <w:noWrap/>
          </w:tcPr>
          <w:p w14:paraId="65E9282F" w14:textId="77777777" w:rsidR="004F4D05" w:rsidRPr="00082425" w:rsidRDefault="004F4D05" w:rsidP="004F4D05">
            <w:pPr>
              <w:spacing w:line="360" w:lineRule="exact"/>
              <w:jc w:val="center"/>
              <w:rPr>
                <w:rFonts w:cs="Times New Roman"/>
                <w:szCs w:val="24"/>
              </w:rPr>
            </w:pPr>
            <w:r w:rsidRPr="00082425">
              <w:rPr>
                <w:rFonts w:cs="Times New Roman"/>
                <w:szCs w:val="24"/>
              </w:rPr>
              <w:t>0.3</w:t>
            </w:r>
          </w:p>
        </w:tc>
        <w:tc>
          <w:tcPr>
            <w:tcW w:w="1106" w:type="pct"/>
            <w:tcBorders>
              <w:top w:val="single" w:sz="6" w:space="0" w:color="auto"/>
            </w:tcBorders>
          </w:tcPr>
          <w:p w14:paraId="3CB79201" w14:textId="77777777" w:rsidR="004F4D05" w:rsidRPr="00082425" w:rsidRDefault="004F4D05" w:rsidP="004F4D05">
            <w:pPr>
              <w:spacing w:line="360" w:lineRule="exact"/>
              <w:jc w:val="center"/>
              <w:rPr>
                <w:rFonts w:cs="Times New Roman"/>
                <w:szCs w:val="24"/>
              </w:rPr>
            </w:pPr>
            <w:r w:rsidRPr="00082425">
              <w:rPr>
                <w:rFonts w:cs="Times New Roman"/>
                <w:szCs w:val="24"/>
              </w:rPr>
              <w:t>40</w:t>
            </w:r>
          </w:p>
        </w:tc>
      </w:tr>
      <w:tr w:rsidR="004F4D05" w:rsidRPr="00082425" w14:paraId="737A69A1" w14:textId="77777777" w:rsidTr="009A7CBE">
        <w:trPr>
          <w:trHeight w:val="285"/>
        </w:trPr>
        <w:tc>
          <w:tcPr>
            <w:tcW w:w="1242" w:type="pct"/>
            <w:noWrap/>
          </w:tcPr>
          <w:p w14:paraId="7BFE927A" w14:textId="77777777" w:rsidR="004F4D05" w:rsidRPr="00082425" w:rsidRDefault="004F4D05" w:rsidP="004F4D05">
            <w:pPr>
              <w:spacing w:line="360" w:lineRule="exact"/>
              <w:jc w:val="center"/>
              <w:rPr>
                <w:rFonts w:cs="Times New Roman"/>
                <w:szCs w:val="24"/>
              </w:rPr>
            </w:pPr>
            <w:r w:rsidRPr="00082425">
              <w:rPr>
                <w:rFonts w:cs="Times New Roman"/>
                <w:szCs w:val="24"/>
              </w:rPr>
              <w:t>15.00</w:t>
            </w:r>
          </w:p>
        </w:tc>
        <w:tc>
          <w:tcPr>
            <w:tcW w:w="1002" w:type="pct"/>
          </w:tcPr>
          <w:p w14:paraId="7046408A" w14:textId="77777777" w:rsidR="004F4D05" w:rsidRPr="00082425" w:rsidRDefault="004F4D05" w:rsidP="004F4D05">
            <w:pPr>
              <w:spacing w:line="360" w:lineRule="exact"/>
              <w:jc w:val="center"/>
              <w:rPr>
                <w:rFonts w:cs="Times New Roman"/>
                <w:szCs w:val="24"/>
              </w:rPr>
            </w:pPr>
            <w:r w:rsidRPr="00082425">
              <w:rPr>
                <w:rFonts w:cs="Times New Roman"/>
                <w:szCs w:val="24"/>
              </w:rPr>
              <w:t>0</w:t>
            </w:r>
          </w:p>
        </w:tc>
        <w:tc>
          <w:tcPr>
            <w:tcW w:w="565" w:type="pct"/>
          </w:tcPr>
          <w:p w14:paraId="5226CF77" w14:textId="77777777" w:rsidR="004F4D05" w:rsidRPr="00082425" w:rsidRDefault="004F4D05" w:rsidP="004F4D05">
            <w:pPr>
              <w:spacing w:line="360" w:lineRule="exact"/>
              <w:jc w:val="center"/>
              <w:rPr>
                <w:rFonts w:cs="Times New Roman"/>
                <w:szCs w:val="24"/>
              </w:rPr>
            </w:pPr>
            <w:r w:rsidRPr="00082425">
              <w:rPr>
                <w:rFonts w:cs="Times New Roman"/>
                <w:szCs w:val="24"/>
              </w:rPr>
              <w:t>100</w:t>
            </w:r>
          </w:p>
        </w:tc>
        <w:tc>
          <w:tcPr>
            <w:tcW w:w="1085" w:type="pct"/>
            <w:noWrap/>
          </w:tcPr>
          <w:p w14:paraId="35F1E046" w14:textId="77777777" w:rsidR="004F4D05" w:rsidRPr="00082425" w:rsidRDefault="004F4D05" w:rsidP="004F4D05">
            <w:pPr>
              <w:spacing w:line="360" w:lineRule="exact"/>
              <w:jc w:val="center"/>
              <w:rPr>
                <w:rFonts w:cs="Times New Roman"/>
                <w:szCs w:val="24"/>
              </w:rPr>
            </w:pPr>
            <w:r w:rsidRPr="00082425">
              <w:rPr>
                <w:rFonts w:cs="Times New Roman"/>
                <w:szCs w:val="24"/>
              </w:rPr>
              <w:t>0.3</w:t>
            </w:r>
          </w:p>
        </w:tc>
        <w:tc>
          <w:tcPr>
            <w:tcW w:w="1106" w:type="pct"/>
          </w:tcPr>
          <w:p w14:paraId="1B35A151" w14:textId="77777777" w:rsidR="004F4D05" w:rsidRPr="00082425" w:rsidRDefault="004F4D05" w:rsidP="004F4D05">
            <w:pPr>
              <w:spacing w:line="360" w:lineRule="exact"/>
              <w:jc w:val="center"/>
              <w:rPr>
                <w:rFonts w:cs="Times New Roman"/>
                <w:szCs w:val="24"/>
              </w:rPr>
            </w:pPr>
            <w:r w:rsidRPr="00082425">
              <w:rPr>
                <w:rFonts w:cs="Times New Roman"/>
                <w:szCs w:val="24"/>
              </w:rPr>
              <w:t>40</w:t>
            </w:r>
          </w:p>
        </w:tc>
      </w:tr>
      <w:tr w:rsidR="004F4D05" w:rsidRPr="00082425" w14:paraId="6F759698" w14:textId="77777777" w:rsidTr="009A7CBE">
        <w:trPr>
          <w:trHeight w:val="285"/>
        </w:trPr>
        <w:tc>
          <w:tcPr>
            <w:tcW w:w="1242" w:type="pct"/>
            <w:noWrap/>
          </w:tcPr>
          <w:p w14:paraId="3A333116" w14:textId="77777777" w:rsidR="004F4D05" w:rsidRPr="00082425" w:rsidRDefault="004F4D05" w:rsidP="004F4D05">
            <w:pPr>
              <w:spacing w:line="360" w:lineRule="exact"/>
              <w:jc w:val="center"/>
              <w:rPr>
                <w:rFonts w:cs="Times New Roman"/>
                <w:szCs w:val="24"/>
              </w:rPr>
            </w:pPr>
            <w:r w:rsidRPr="00082425">
              <w:rPr>
                <w:rFonts w:cs="Times New Roman"/>
                <w:szCs w:val="24"/>
              </w:rPr>
              <w:t>17.00</w:t>
            </w:r>
          </w:p>
        </w:tc>
        <w:tc>
          <w:tcPr>
            <w:tcW w:w="1002" w:type="pct"/>
          </w:tcPr>
          <w:p w14:paraId="58EEEC89" w14:textId="77777777" w:rsidR="004F4D05" w:rsidRPr="00082425" w:rsidRDefault="004F4D05" w:rsidP="004F4D05">
            <w:pPr>
              <w:spacing w:line="360" w:lineRule="exact"/>
              <w:jc w:val="center"/>
              <w:rPr>
                <w:rFonts w:cs="Times New Roman"/>
                <w:szCs w:val="24"/>
              </w:rPr>
            </w:pPr>
            <w:r w:rsidRPr="00082425">
              <w:rPr>
                <w:rFonts w:cs="Times New Roman"/>
                <w:szCs w:val="24"/>
              </w:rPr>
              <w:t>0</w:t>
            </w:r>
          </w:p>
        </w:tc>
        <w:tc>
          <w:tcPr>
            <w:tcW w:w="565" w:type="pct"/>
          </w:tcPr>
          <w:p w14:paraId="60F531EA" w14:textId="77777777" w:rsidR="004F4D05" w:rsidRPr="00082425" w:rsidRDefault="004F4D05" w:rsidP="004F4D05">
            <w:pPr>
              <w:spacing w:line="360" w:lineRule="exact"/>
              <w:jc w:val="center"/>
              <w:rPr>
                <w:rFonts w:cs="Times New Roman"/>
                <w:szCs w:val="24"/>
              </w:rPr>
            </w:pPr>
            <w:r w:rsidRPr="00082425">
              <w:rPr>
                <w:rFonts w:cs="Times New Roman"/>
                <w:szCs w:val="24"/>
              </w:rPr>
              <w:t>100</w:t>
            </w:r>
          </w:p>
        </w:tc>
        <w:tc>
          <w:tcPr>
            <w:tcW w:w="1085" w:type="pct"/>
            <w:noWrap/>
          </w:tcPr>
          <w:p w14:paraId="3988B84C" w14:textId="77777777" w:rsidR="004F4D05" w:rsidRPr="00082425" w:rsidRDefault="004F4D05" w:rsidP="004F4D05">
            <w:pPr>
              <w:spacing w:line="360" w:lineRule="exact"/>
              <w:jc w:val="center"/>
              <w:rPr>
                <w:rFonts w:cs="Times New Roman"/>
                <w:szCs w:val="24"/>
              </w:rPr>
            </w:pPr>
            <w:r w:rsidRPr="00082425">
              <w:rPr>
                <w:rFonts w:cs="Times New Roman"/>
                <w:szCs w:val="24"/>
              </w:rPr>
              <w:t>0.3</w:t>
            </w:r>
          </w:p>
        </w:tc>
        <w:tc>
          <w:tcPr>
            <w:tcW w:w="1106" w:type="pct"/>
          </w:tcPr>
          <w:p w14:paraId="4D1310BA" w14:textId="77777777" w:rsidR="004F4D05" w:rsidRPr="00082425" w:rsidRDefault="004F4D05" w:rsidP="004F4D05">
            <w:pPr>
              <w:spacing w:line="360" w:lineRule="exact"/>
              <w:jc w:val="center"/>
              <w:rPr>
                <w:rFonts w:cs="Times New Roman"/>
                <w:szCs w:val="24"/>
              </w:rPr>
            </w:pPr>
            <w:r w:rsidRPr="00082425">
              <w:rPr>
                <w:rFonts w:cs="Times New Roman"/>
                <w:szCs w:val="24"/>
              </w:rPr>
              <w:t>40</w:t>
            </w:r>
          </w:p>
        </w:tc>
      </w:tr>
      <w:tr w:rsidR="004F4D05" w:rsidRPr="00082425" w14:paraId="4C7805B8" w14:textId="77777777" w:rsidTr="009A7CBE">
        <w:trPr>
          <w:trHeight w:val="285"/>
        </w:trPr>
        <w:tc>
          <w:tcPr>
            <w:tcW w:w="1242" w:type="pct"/>
            <w:noWrap/>
          </w:tcPr>
          <w:p w14:paraId="0D1F3C0F" w14:textId="77777777" w:rsidR="004F4D05" w:rsidRPr="00082425" w:rsidRDefault="004F4D05" w:rsidP="004F4D05">
            <w:pPr>
              <w:spacing w:line="360" w:lineRule="exact"/>
              <w:jc w:val="center"/>
              <w:rPr>
                <w:rFonts w:cs="Times New Roman"/>
                <w:szCs w:val="24"/>
              </w:rPr>
            </w:pPr>
            <w:r w:rsidRPr="00082425">
              <w:rPr>
                <w:rFonts w:cs="Times New Roman"/>
                <w:szCs w:val="24"/>
              </w:rPr>
              <w:t>17.10</w:t>
            </w:r>
          </w:p>
        </w:tc>
        <w:tc>
          <w:tcPr>
            <w:tcW w:w="1002" w:type="pct"/>
          </w:tcPr>
          <w:p w14:paraId="024FC23A" w14:textId="77777777" w:rsidR="004F4D05" w:rsidRPr="00082425" w:rsidRDefault="004F4D05" w:rsidP="004F4D05">
            <w:pPr>
              <w:spacing w:line="360" w:lineRule="exact"/>
              <w:jc w:val="center"/>
              <w:rPr>
                <w:rFonts w:cs="Times New Roman"/>
                <w:szCs w:val="24"/>
              </w:rPr>
            </w:pPr>
            <w:r w:rsidRPr="00082425">
              <w:rPr>
                <w:rFonts w:cs="Times New Roman"/>
                <w:szCs w:val="24"/>
              </w:rPr>
              <w:t>10</w:t>
            </w:r>
          </w:p>
        </w:tc>
        <w:tc>
          <w:tcPr>
            <w:tcW w:w="565" w:type="pct"/>
          </w:tcPr>
          <w:p w14:paraId="48DAD614" w14:textId="77777777" w:rsidR="004F4D05" w:rsidRPr="00082425" w:rsidRDefault="004F4D05" w:rsidP="004F4D05">
            <w:pPr>
              <w:spacing w:line="360" w:lineRule="exact"/>
              <w:jc w:val="center"/>
              <w:rPr>
                <w:rFonts w:cs="Times New Roman"/>
                <w:szCs w:val="24"/>
              </w:rPr>
            </w:pPr>
            <w:r w:rsidRPr="00082425">
              <w:rPr>
                <w:rFonts w:cs="Times New Roman"/>
                <w:szCs w:val="24"/>
              </w:rPr>
              <w:t>90</w:t>
            </w:r>
          </w:p>
        </w:tc>
        <w:tc>
          <w:tcPr>
            <w:tcW w:w="1085" w:type="pct"/>
            <w:noWrap/>
          </w:tcPr>
          <w:p w14:paraId="0E53A127" w14:textId="77777777" w:rsidR="004F4D05" w:rsidRPr="00082425" w:rsidRDefault="004F4D05" w:rsidP="004F4D05">
            <w:pPr>
              <w:spacing w:line="360" w:lineRule="exact"/>
              <w:jc w:val="center"/>
              <w:rPr>
                <w:rFonts w:cs="Times New Roman"/>
                <w:szCs w:val="24"/>
              </w:rPr>
            </w:pPr>
            <w:r w:rsidRPr="00082425">
              <w:rPr>
                <w:rFonts w:cs="Times New Roman"/>
                <w:szCs w:val="24"/>
              </w:rPr>
              <w:t>0.3</w:t>
            </w:r>
          </w:p>
        </w:tc>
        <w:tc>
          <w:tcPr>
            <w:tcW w:w="1106" w:type="pct"/>
          </w:tcPr>
          <w:p w14:paraId="3959FE28" w14:textId="77777777" w:rsidR="004F4D05" w:rsidRPr="00082425" w:rsidRDefault="004F4D05" w:rsidP="004F4D05">
            <w:pPr>
              <w:spacing w:line="360" w:lineRule="exact"/>
              <w:jc w:val="center"/>
              <w:rPr>
                <w:rFonts w:cs="Times New Roman"/>
                <w:szCs w:val="24"/>
              </w:rPr>
            </w:pPr>
            <w:r w:rsidRPr="00082425">
              <w:rPr>
                <w:rFonts w:cs="Times New Roman"/>
                <w:szCs w:val="24"/>
              </w:rPr>
              <w:t>40</w:t>
            </w:r>
          </w:p>
        </w:tc>
      </w:tr>
      <w:tr w:rsidR="004F4D05" w:rsidRPr="00082425" w14:paraId="09F0FC74" w14:textId="77777777" w:rsidTr="009A7CBE">
        <w:trPr>
          <w:trHeight w:val="285"/>
        </w:trPr>
        <w:tc>
          <w:tcPr>
            <w:tcW w:w="1242" w:type="pct"/>
            <w:noWrap/>
          </w:tcPr>
          <w:p w14:paraId="33803EBC" w14:textId="77777777" w:rsidR="004F4D05" w:rsidRPr="00082425" w:rsidRDefault="004F4D05" w:rsidP="004F4D05">
            <w:pPr>
              <w:spacing w:line="360" w:lineRule="exact"/>
              <w:jc w:val="center"/>
              <w:rPr>
                <w:rFonts w:cs="Times New Roman"/>
                <w:szCs w:val="24"/>
              </w:rPr>
            </w:pPr>
            <w:r w:rsidRPr="00082425">
              <w:rPr>
                <w:rFonts w:cs="Times New Roman"/>
                <w:szCs w:val="24"/>
              </w:rPr>
              <w:t>20.00</w:t>
            </w:r>
          </w:p>
        </w:tc>
        <w:tc>
          <w:tcPr>
            <w:tcW w:w="1002" w:type="pct"/>
          </w:tcPr>
          <w:p w14:paraId="59F3726F" w14:textId="77777777" w:rsidR="004F4D05" w:rsidRPr="00082425" w:rsidRDefault="004F4D05" w:rsidP="004F4D05">
            <w:pPr>
              <w:spacing w:line="360" w:lineRule="exact"/>
              <w:jc w:val="center"/>
              <w:rPr>
                <w:rFonts w:cs="Times New Roman"/>
                <w:szCs w:val="24"/>
              </w:rPr>
            </w:pPr>
            <w:r w:rsidRPr="00082425">
              <w:rPr>
                <w:rFonts w:cs="Times New Roman"/>
                <w:szCs w:val="24"/>
              </w:rPr>
              <w:t>10</w:t>
            </w:r>
          </w:p>
        </w:tc>
        <w:tc>
          <w:tcPr>
            <w:tcW w:w="565" w:type="pct"/>
          </w:tcPr>
          <w:p w14:paraId="6B79F8BE" w14:textId="77777777" w:rsidR="004F4D05" w:rsidRPr="00082425" w:rsidRDefault="004F4D05" w:rsidP="004F4D05">
            <w:pPr>
              <w:spacing w:line="360" w:lineRule="exact"/>
              <w:jc w:val="center"/>
              <w:rPr>
                <w:rFonts w:cs="Times New Roman"/>
                <w:szCs w:val="24"/>
              </w:rPr>
            </w:pPr>
            <w:r w:rsidRPr="00082425">
              <w:rPr>
                <w:rFonts w:cs="Times New Roman"/>
                <w:szCs w:val="24"/>
              </w:rPr>
              <w:t>90</w:t>
            </w:r>
          </w:p>
        </w:tc>
        <w:tc>
          <w:tcPr>
            <w:tcW w:w="1085" w:type="pct"/>
            <w:noWrap/>
          </w:tcPr>
          <w:p w14:paraId="41488ADB" w14:textId="77777777" w:rsidR="004F4D05" w:rsidRPr="00082425" w:rsidRDefault="004F4D05" w:rsidP="004F4D05">
            <w:pPr>
              <w:spacing w:line="360" w:lineRule="exact"/>
              <w:jc w:val="center"/>
              <w:rPr>
                <w:rFonts w:cs="Times New Roman"/>
                <w:szCs w:val="24"/>
              </w:rPr>
            </w:pPr>
            <w:r w:rsidRPr="00082425">
              <w:rPr>
                <w:rFonts w:cs="Times New Roman"/>
                <w:szCs w:val="24"/>
              </w:rPr>
              <w:t>0.3</w:t>
            </w:r>
          </w:p>
        </w:tc>
        <w:tc>
          <w:tcPr>
            <w:tcW w:w="1106" w:type="pct"/>
          </w:tcPr>
          <w:p w14:paraId="1703DAE3" w14:textId="77777777" w:rsidR="004F4D05" w:rsidRPr="00082425" w:rsidRDefault="004F4D05" w:rsidP="004F4D05">
            <w:pPr>
              <w:spacing w:line="360" w:lineRule="exact"/>
              <w:jc w:val="center"/>
              <w:rPr>
                <w:rFonts w:cs="Times New Roman"/>
                <w:szCs w:val="24"/>
              </w:rPr>
            </w:pPr>
            <w:r w:rsidRPr="00082425">
              <w:rPr>
                <w:rFonts w:cs="Times New Roman"/>
                <w:szCs w:val="24"/>
              </w:rPr>
              <w:t>40</w:t>
            </w:r>
          </w:p>
        </w:tc>
      </w:tr>
    </w:tbl>
    <w:p w14:paraId="7D119447" w14:textId="77777777" w:rsidR="004F4D05" w:rsidRPr="00082425" w:rsidRDefault="004F4D05" w:rsidP="004F4D05">
      <w:pPr>
        <w:spacing w:beforeLines="100" w:before="312" w:line="360" w:lineRule="auto"/>
        <w:jc w:val="both"/>
        <w:rPr>
          <w:rFonts w:ascii="Times New Roman" w:eastAsia="宋体" w:hAnsi="Times New Roman" w:cs="Times New Roman"/>
        </w:rPr>
      </w:pPr>
      <w:r w:rsidRPr="00082425">
        <w:rPr>
          <w:rFonts w:ascii="Times New Roman" w:eastAsia="宋体" w:hAnsi="Times New Roman" w:cs="Times New Roman"/>
        </w:rPr>
        <w:lastRenderedPageBreak/>
        <w:t>质谱分析在</w:t>
      </w:r>
      <w:r w:rsidRPr="00082425">
        <w:rPr>
          <w:rFonts w:ascii="Times New Roman" w:eastAsia="宋体" w:hAnsi="Times New Roman" w:cs="Times New Roman"/>
        </w:rPr>
        <w:t>Q-Exactive</w:t>
      </w:r>
      <w:r w:rsidRPr="00082425">
        <w:rPr>
          <w:rFonts w:ascii="Times New Roman" w:eastAsia="宋体" w:hAnsi="Times New Roman" w:cs="Times New Roman"/>
        </w:rPr>
        <w:t>（</w:t>
      </w:r>
      <w:r w:rsidRPr="00082425">
        <w:rPr>
          <w:rFonts w:ascii="Times New Roman" w:eastAsia="宋体" w:hAnsi="Times New Roman" w:cs="Times New Roman"/>
        </w:rPr>
        <w:t>Thermo Fisher Scientific, CA, USA</w:t>
      </w:r>
      <w:r w:rsidRPr="00082425">
        <w:rPr>
          <w:rFonts w:ascii="Times New Roman" w:eastAsia="宋体" w:hAnsi="Times New Roman" w:cs="Times New Roman"/>
        </w:rPr>
        <w:t>）质谱仪上进行，采用</w:t>
      </w:r>
      <w:r w:rsidRPr="00082425">
        <w:rPr>
          <w:rFonts w:ascii="Times New Roman" w:eastAsia="宋体" w:hAnsi="Times New Roman" w:cs="Times New Roman"/>
        </w:rPr>
        <w:t>HESI</w:t>
      </w:r>
      <w:r w:rsidRPr="00082425">
        <w:rPr>
          <w:rFonts w:ascii="Times New Roman" w:eastAsia="宋体" w:hAnsi="Times New Roman" w:cs="Times New Roman"/>
        </w:rPr>
        <w:t>离子源。离子源温度设为</w:t>
      </w:r>
      <w:r w:rsidRPr="00082425">
        <w:rPr>
          <w:rFonts w:ascii="Times New Roman" w:eastAsia="宋体" w:hAnsi="Times New Roman" w:cs="Times New Roman"/>
        </w:rPr>
        <w:t>310 °C</w:t>
      </w:r>
      <w:r w:rsidRPr="00082425">
        <w:rPr>
          <w:rFonts w:ascii="Times New Roman" w:eastAsia="宋体" w:hAnsi="Times New Roman" w:cs="Times New Roman"/>
        </w:rPr>
        <w:t>，毛细管温度</w:t>
      </w:r>
      <w:r w:rsidRPr="00082425">
        <w:rPr>
          <w:rFonts w:ascii="Times New Roman" w:eastAsia="宋体" w:hAnsi="Times New Roman" w:cs="Times New Roman"/>
        </w:rPr>
        <w:t>320 °C</w:t>
      </w:r>
      <w:r w:rsidRPr="00082425">
        <w:rPr>
          <w:rFonts w:ascii="Times New Roman" w:eastAsia="宋体" w:hAnsi="Times New Roman" w:cs="Times New Roman"/>
        </w:rPr>
        <w:t>，</w:t>
      </w:r>
      <w:proofErr w:type="gramStart"/>
      <w:r w:rsidRPr="00082425">
        <w:rPr>
          <w:rFonts w:ascii="Times New Roman" w:eastAsia="宋体" w:hAnsi="Times New Roman" w:cs="Times New Roman"/>
        </w:rPr>
        <w:t>鞘气流速</w:t>
      </w:r>
      <w:proofErr w:type="gramEnd"/>
      <w:r w:rsidRPr="00082425">
        <w:rPr>
          <w:rFonts w:ascii="Times New Roman" w:eastAsia="宋体" w:hAnsi="Times New Roman" w:cs="Times New Roman"/>
        </w:rPr>
        <w:t>为</w:t>
      </w:r>
      <w:r w:rsidRPr="00082425">
        <w:rPr>
          <w:rFonts w:ascii="Times New Roman" w:eastAsia="宋体" w:hAnsi="Times New Roman" w:cs="Times New Roman"/>
        </w:rPr>
        <w:t>30 arb. units</w:t>
      </w:r>
      <w:r w:rsidRPr="00082425">
        <w:rPr>
          <w:rFonts w:ascii="Times New Roman" w:eastAsia="宋体" w:hAnsi="Times New Roman" w:cs="Times New Roman"/>
        </w:rPr>
        <w:t>，辅助气流速</w:t>
      </w:r>
      <w:r w:rsidRPr="00082425">
        <w:rPr>
          <w:rFonts w:ascii="Times New Roman" w:eastAsia="宋体" w:hAnsi="Times New Roman" w:cs="Times New Roman"/>
        </w:rPr>
        <w:t>10 arb. units</w:t>
      </w:r>
      <w:r w:rsidRPr="00082425">
        <w:rPr>
          <w:rFonts w:ascii="Times New Roman" w:eastAsia="宋体" w:hAnsi="Times New Roman" w:cs="Times New Roman"/>
        </w:rPr>
        <w:t>。正离子模式与负离子模式下的喷雾电压分别为</w:t>
      </w:r>
      <w:r w:rsidRPr="00082425">
        <w:rPr>
          <w:rFonts w:ascii="Times New Roman" w:eastAsia="宋体" w:hAnsi="Times New Roman" w:cs="Times New Roman"/>
        </w:rPr>
        <w:t>3 kV</w:t>
      </w:r>
      <w:r w:rsidRPr="00082425">
        <w:rPr>
          <w:rFonts w:ascii="Times New Roman" w:eastAsia="宋体" w:hAnsi="Times New Roman" w:cs="Times New Roman"/>
        </w:rPr>
        <w:t>与</w:t>
      </w:r>
      <w:r w:rsidRPr="00082425">
        <w:rPr>
          <w:rFonts w:ascii="Times New Roman" w:eastAsia="宋体" w:hAnsi="Times New Roman" w:cs="Times New Roman"/>
        </w:rPr>
        <w:t>2.8 kV</w:t>
      </w:r>
      <w:r w:rsidRPr="00082425">
        <w:rPr>
          <w:rFonts w:ascii="Times New Roman" w:eastAsia="宋体" w:hAnsi="Times New Roman" w:cs="Times New Roman"/>
        </w:rPr>
        <w:t>。采集模式为数据依赖性扫描（</w:t>
      </w:r>
      <w:r w:rsidRPr="00082425">
        <w:rPr>
          <w:rFonts w:ascii="Times New Roman" w:eastAsia="宋体" w:hAnsi="Times New Roman" w:cs="Times New Roman"/>
        </w:rPr>
        <w:t>DDA</w:t>
      </w:r>
      <w:r w:rsidRPr="00082425">
        <w:rPr>
          <w:rFonts w:ascii="Times New Roman" w:eastAsia="宋体" w:hAnsi="Times New Roman" w:cs="Times New Roman"/>
        </w:rPr>
        <w:t>），</w:t>
      </w:r>
      <w:r w:rsidRPr="00082425">
        <w:rPr>
          <w:rFonts w:ascii="Times New Roman" w:eastAsia="宋体" w:hAnsi="Times New Roman" w:cs="Times New Roman"/>
        </w:rPr>
        <w:t>Loop count</w:t>
      </w:r>
      <w:r w:rsidRPr="00082425">
        <w:rPr>
          <w:rFonts w:ascii="Times New Roman" w:eastAsia="宋体" w:hAnsi="Times New Roman" w:cs="Times New Roman"/>
        </w:rPr>
        <w:t>设为</w:t>
      </w:r>
      <w:r w:rsidRPr="00082425">
        <w:rPr>
          <w:rFonts w:ascii="Times New Roman" w:eastAsia="宋体" w:hAnsi="Times New Roman" w:cs="Times New Roman"/>
        </w:rPr>
        <w:t>10</w:t>
      </w:r>
      <w:r w:rsidRPr="00082425">
        <w:rPr>
          <w:rFonts w:ascii="Times New Roman" w:eastAsia="宋体" w:hAnsi="Times New Roman" w:cs="Times New Roman"/>
        </w:rPr>
        <w:t>。碎裂采用</w:t>
      </w:r>
      <w:r w:rsidRPr="00082425">
        <w:rPr>
          <w:rFonts w:ascii="Times New Roman" w:eastAsia="宋体" w:hAnsi="Times New Roman" w:cs="Times New Roman"/>
        </w:rPr>
        <w:t>HCD</w:t>
      </w:r>
      <w:r w:rsidRPr="00082425">
        <w:rPr>
          <w:rFonts w:ascii="Times New Roman" w:eastAsia="宋体" w:hAnsi="Times New Roman" w:cs="Times New Roman"/>
        </w:rPr>
        <w:t>模式，碰撞能量为步进式归一化碰撞能，设定值为</w:t>
      </w:r>
      <w:r w:rsidRPr="00082425">
        <w:rPr>
          <w:rFonts w:ascii="Times New Roman" w:eastAsia="宋体" w:hAnsi="Times New Roman" w:cs="Times New Roman"/>
        </w:rPr>
        <w:t>10</w:t>
      </w:r>
      <w:r w:rsidRPr="00082425">
        <w:rPr>
          <w:rFonts w:ascii="Times New Roman" w:eastAsia="宋体" w:hAnsi="Times New Roman" w:cs="Times New Roman"/>
        </w:rPr>
        <w:t>、</w:t>
      </w:r>
      <w:r w:rsidRPr="00082425">
        <w:rPr>
          <w:rFonts w:ascii="Times New Roman" w:eastAsia="宋体" w:hAnsi="Times New Roman" w:cs="Times New Roman"/>
        </w:rPr>
        <w:t>28</w:t>
      </w:r>
      <w:r w:rsidRPr="00082425">
        <w:rPr>
          <w:rFonts w:ascii="Times New Roman" w:eastAsia="宋体" w:hAnsi="Times New Roman" w:cs="Times New Roman"/>
        </w:rPr>
        <w:t>和</w:t>
      </w:r>
      <w:r w:rsidRPr="00082425">
        <w:rPr>
          <w:rFonts w:ascii="Times New Roman" w:eastAsia="宋体" w:hAnsi="Times New Roman" w:cs="Times New Roman"/>
        </w:rPr>
        <w:t>35 eV</w:t>
      </w:r>
      <w:r w:rsidRPr="00082425">
        <w:rPr>
          <w:rFonts w:ascii="Times New Roman" w:eastAsia="宋体" w:hAnsi="Times New Roman" w:cs="Times New Roman"/>
        </w:rPr>
        <w:t>。定性分析：一级全扫描质谱范围为</w:t>
      </w:r>
      <w:r w:rsidRPr="00082425">
        <w:rPr>
          <w:rFonts w:ascii="Times New Roman" w:eastAsia="宋体" w:hAnsi="Times New Roman" w:cs="Times New Roman"/>
          <w:i/>
          <w:iCs/>
        </w:rPr>
        <w:t xml:space="preserve">m/z </w:t>
      </w:r>
      <w:r w:rsidRPr="00082425">
        <w:rPr>
          <w:rFonts w:ascii="Times New Roman" w:eastAsia="宋体" w:hAnsi="Times New Roman" w:cs="Times New Roman"/>
        </w:rPr>
        <w:t>100–1500</w:t>
      </w:r>
      <w:r w:rsidRPr="00082425">
        <w:rPr>
          <w:rFonts w:ascii="Times New Roman" w:eastAsia="宋体" w:hAnsi="Times New Roman" w:cs="Times New Roman"/>
        </w:rPr>
        <w:t>，分辨率为</w:t>
      </w:r>
      <w:r w:rsidRPr="00082425">
        <w:rPr>
          <w:rFonts w:ascii="Times New Roman" w:eastAsia="宋体" w:hAnsi="Times New Roman" w:cs="Times New Roman"/>
        </w:rPr>
        <w:t>70,000</w:t>
      </w:r>
      <w:r w:rsidRPr="00082425">
        <w:rPr>
          <w:rFonts w:ascii="Times New Roman" w:eastAsia="宋体" w:hAnsi="Times New Roman" w:cs="Times New Roman"/>
        </w:rPr>
        <w:t>，自动增益控制目标值为</w:t>
      </w:r>
      <w:r w:rsidRPr="00082425">
        <w:rPr>
          <w:rFonts w:ascii="Times New Roman" w:eastAsia="宋体" w:hAnsi="Times New Roman" w:cs="Times New Roman"/>
        </w:rPr>
        <w:t>3×10</w:t>
      </w:r>
      <w:r w:rsidRPr="00082425">
        <w:rPr>
          <w:rFonts w:ascii="Times New Roman" w:eastAsia="宋体" w:hAnsi="Times New Roman" w:cs="Times New Roman"/>
          <w:vertAlign w:val="superscript"/>
        </w:rPr>
        <w:t>6</w:t>
      </w:r>
      <w:r w:rsidRPr="00082425">
        <w:rPr>
          <w:rFonts w:ascii="Times New Roman" w:eastAsia="宋体" w:hAnsi="Times New Roman" w:cs="Times New Roman"/>
        </w:rPr>
        <w:t>，最大注入时间</w:t>
      </w:r>
      <w:r w:rsidRPr="00082425">
        <w:rPr>
          <w:rFonts w:ascii="Times New Roman" w:eastAsia="宋体" w:hAnsi="Times New Roman" w:cs="Times New Roman"/>
        </w:rPr>
        <w:t xml:space="preserve">200 </w:t>
      </w:r>
      <w:proofErr w:type="spellStart"/>
      <w:r w:rsidRPr="00082425">
        <w:rPr>
          <w:rFonts w:ascii="Times New Roman" w:eastAsia="宋体" w:hAnsi="Times New Roman" w:cs="Times New Roman"/>
        </w:rPr>
        <w:t>ms</w:t>
      </w:r>
      <w:proofErr w:type="spellEnd"/>
      <w:r w:rsidRPr="00082425">
        <w:rPr>
          <w:rFonts w:ascii="Times New Roman" w:eastAsia="宋体" w:hAnsi="Times New Roman" w:cs="Times New Roman"/>
        </w:rPr>
        <w:t>。二级质谱分辨率为</w:t>
      </w:r>
      <w:r w:rsidRPr="00082425">
        <w:rPr>
          <w:rFonts w:ascii="Times New Roman" w:eastAsia="宋体" w:hAnsi="Times New Roman" w:cs="Times New Roman"/>
        </w:rPr>
        <w:t>17,500</w:t>
      </w:r>
      <w:r w:rsidRPr="00082425">
        <w:rPr>
          <w:rFonts w:ascii="Times New Roman" w:eastAsia="宋体" w:hAnsi="Times New Roman" w:cs="Times New Roman"/>
        </w:rPr>
        <w:t>，自动增益控制目标值为</w:t>
      </w:r>
      <w:r w:rsidRPr="00082425">
        <w:rPr>
          <w:rFonts w:ascii="Times New Roman" w:eastAsia="宋体" w:hAnsi="Times New Roman" w:cs="Times New Roman"/>
        </w:rPr>
        <w:t>1×10</w:t>
      </w:r>
      <w:r w:rsidRPr="00082425">
        <w:rPr>
          <w:rFonts w:ascii="Times New Roman" w:eastAsia="宋体" w:hAnsi="Times New Roman" w:cs="Times New Roman"/>
          <w:vertAlign w:val="superscript"/>
        </w:rPr>
        <w:t>5</w:t>
      </w:r>
      <w:r w:rsidRPr="00082425">
        <w:rPr>
          <w:rFonts w:ascii="Times New Roman" w:eastAsia="宋体" w:hAnsi="Times New Roman" w:cs="Times New Roman"/>
        </w:rPr>
        <w:t>，最大注入时间</w:t>
      </w:r>
      <w:r w:rsidRPr="00082425">
        <w:rPr>
          <w:rFonts w:ascii="Times New Roman" w:eastAsia="宋体" w:hAnsi="Times New Roman" w:cs="Times New Roman"/>
        </w:rPr>
        <w:t xml:space="preserve">50 </w:t>
      </w:r>
      <w:proofErr w:type="spellStart"/>
      <w:r w:rsidRPr="00082425">
        <w:rPr>
          <w:rFonts w:ascii="Times New Roman" w:eastAsia="宋体" w:hAnsi="Times New Roman" w:cs="Times New Roman"/>
        </w:rPr>
        <w:t>ms</w:t>
      </w:r>
      <w:proofErr w:type="spellEnd"/>
      <w:r w:rsidRPr="00082425">
        <w:rPr>
          <w:rFonts w:ascii="Times New Roman" w:eastAsia="宋体" w:hAnsi="Times New Roman" w:cs="Times New Roman"/>
        </w:rPr>
        <w:t>。定量分析：采用质谱</w:t>
      </w:r>
      <w:r w:rsidRPr="00082425">
        <w:rPr>
          <w:rFonts w:ascii="Times New Roman" w:eastAsia="宋体" w:hAnsi="Times New Roman" w:cs="Times New Roman"/>
        </w:rPr>
        <w:t>SIM</w:t>
      </w:r>
      <w:r w:rsidRPr="00082425">
        <w:rPr>
          <w:rFonts w:ascii="Times New Roman" w:eastAsia="宋体" w:hAnsi="Times New Roman" w:cs="Times New Roman"/>
        </w:rPr>
        <w:t>模式监测扫描目标化合物的准分子离子峰。</w:t>
      </w:r>
    </w:p>
    <w:p w14:paraId="6E8B520C" w14:textId="41E28D17" w:rsidR="00006BD0" w:rsidRDefault="00F03F32" w:rsidP="00006BD0">
      <w:pPr>
        <w:pStyle w:val="ListParagraph"/>
        <w:numPr>
          <w:ilvl w:val="0"/>
          <w:numId w:val="4"/>
        </w:numPr>
        <w:spacing w:line="360" w:lineRule="auto"/>
        <w:jc w:val="both"/>
        <w:rPr>
          <w:rFonts w:ascii="Times New Roman" w:eastAsia="宋体" w:hAnsi="Times New Roman" w:cs="Times New Roman"/>
          <w:b/>
          <w:bCs/>
        </w:rPr>
      </w:pPr>
      <w:r w:rsidRPr="00F03F32">
        <w:rPr>
          <w:rFonts w:ascii="Times New Roman" w:eastAsia="宋体" w:hAnsi="Times New Roman" w:cs="Times New Roman"/>
          <w:b/>
          <w:bCs/>
        </w:rPr>
        <w:t>DIGESTIVE CARE</w:t>
      </w:r>
      <w:r w:rsidR="00006BD0" w:rsidRPr="00006BD0">
        <w:rPr>
          <w:rFonts w:ascii="Times New Roman" w:eastAsia="宋体" w:hAnsi="Times New Roman" w:cs="Times New Roman"/>
          <w:b/>
          <w:bCs/>
        </w:rPr>
        <w:t>的</w:t>
      </w:r>
      <w:r w:rsidR="001749F6">
        <w:rPr>
          <w:rFonts w:ascii="Times New Roman" w:eastAsia="宋体" w:hAnsi="Times New Roman" w:cs="Times New Roman" w:hint="eastAsia"/>
          <w:b/>
          <w:bCs/>
        </w:rPr>
        <w:t>总</w:t>
      </w:r>
      <w:r w:rsidR="00006BD0" w:rsidRPr="00006BD0">
        <w:rPr>
          <w:rFonts w:ascii="Times New Roman" w:eastAsia="宋体" w:hAnsi="Times New Roman" w:cs="Times New Roman"/>
          <w:b/>
          <w:bCs/>
        </w:rPr>
        <w:t>多糖含量测定</w:t>
      </w:r>
    </w:p>
    <w:p w14:paraId="0BF6D8D4" w14:textId="77777777" w:rsidR="00F03F32" w:rsidRDefault="00F03F32" w:rsidP="00F03F32">
      <w:pPr>
        <w:pStyle w:val="ListParagraph"/>
        <w:numPr>
          <w:ilvl w:val="0"/>
          <w:numId w:val="6"/>
        </w:numPr>
        <w:rPr>
          <w:rFonts w:ascii="Times New Roman" w:eastAsia="宋体" w:hAnsi="Times New Roman" w:cs="Times New Roman"/>
          <w:b/>
          <w:bCs/>
        </w:rPr>
      </w:pPr>
      <w:r w:rsidRPr="00F03F32">
        <w:rPr>
          <w:rFonts w:ascii="Times New Roman" w:eastAsia="宋体" w:hAnsi="Times New Roman" w:cs="Times New Roman"/>
          <w:b/>
          <w:bCs/>
        </w:rPr>
        <w:t>DIGESTIVE CARE</w:t>
      </w:r>
      <w:r w:rsidRPr="00F03F32">
        <w:rPr>
          <w:rFonts w:ascii="Times New Roman" w:eastAsia="宋体" w:hAnsi="Times New Roman" w:cs="Times New Roman"/>
          <w:b/>
          <w:bCs/>
        </w:rPr>
        <w:t>样品制备</w:t>
      </w:r>
    </w:p>
    <w:p w14:paraId="1F94306B" w14:textId="0C66D2DB" w:rsidR="00AC3ABD" w:rsidRPr="000411F8" w:rsidRDefault="000411F8" w:rsidP="00A9542D">
      <w:pPr>
        <w:spacing w:line="360" w:lineRule="auto"/>
        <w:rPr>
          <w:rFonts w:ascii="Times New Roman" w:eastAsia="宋体" w:hAnsi="Times New Roman" w:cs="Times New Roman"/>
        </w:rPr>
      </w:pPr>
      <w:r w:rsidRPr="000411F8">
        <w:rPr>
          <w:rFonts w:ascii="Times New Roman" w:eastAsia="宋体" w:hAnsi="Times New Roman" w:cs="Times New Roman"/>
        </w:rPr>
        <w:t>精密称取</w:t>
      </w:r>
      <w:r w:rsidRPr="000411F8">
        <w:rPr>
          <w:rFonts w:ascii="Times New Roman" w:eastAsia="宋体" w:hAnsi="Times New Roman" w:cs="Times New Roman"/>
        </w:rPr>
        <w:t>DIGESTIVE CARE</w:t>
      </w:r>
      <w:r w:rsidRPr="000411F8">
        <w:rPr>
          <w:rFonts w:ascii="Times New Roman" w:eastAsia="宋体" w:hAnsi="Times New Roman" w:cs="Times New Roman"/>
        </w:rPr>
        <w:t>样品</w:t>
      </w:r>
      <w:r w:rsidRPr="000411F8">
        <w:rPr>
          <w:rFonts w:ascii="Times New Roman" w:eastAsia="宋体" w:hAnsi="Times New Roman" w:cs="Times New Roman"/>
        </w:rPr>
        <w:t>1.0 g</w:t>
      </w:r>
      <w:r w:rsidRPr="000411F8">
        <w:rPr>
          <w:rFonts w:ascii="Times New Roman" w:eastAsia="宋体" w:hAnsi="Times New Roman" w:cs="Times New Roman"/>
        </w:rPr>
        <w:t>，加蒸馏水</w:t>
      </w:r>
      <w:r w:rsidRPr="000411F8">
        <w:rPr>
          <w:rFonts w:ascii="Times New Roman" w:eastAsia="宋体" w:hAnsi="Times New Roman" w:cs="Times New Roman"/>
        </w:rPr>
        <w:t xml:space="preserve"> 50 mL</w:t>
      </w:r>
      <w:r w:rsidRPr="000411F8">
        <w:rPr>
          <w:rFonts w:ascii="Times New Roman" w:eastAsia="宋体" w:hAnsi="Times New Roman" w:cs="Times New Roman"/>
        </w:rPr>
        <w:t>，沸水浴回流</w:t>
      </w:r>
      <w:r w:rsidRPr="000411F8">
        <w:rPr>
          <w:rFonts w:ascii="Times New Roman" w:eastAsia="宋体" w:hAnsi="Times New Roman" w:cs="Times New Roman"/>
        </w:rPr>
        <w:t xml:space="preserve"> 2 </w:t>
      </w:r>
      <w:r w:rsidRPr="000411F8">
        <w:rPr>
          <w:rFonts w:ascii="Times New Roman" w:eastAsia="宋体" w:hAnsi="Times New Roman" w:cs="Times New Roman"/>
        </w:rPr>
        <w:t>小时。然后加入</w:t>
      </w:r>
      <w:r w:rsidRPr="000411F8">
        <w:rPr>
          <w:rFonts w:ascii="Times New Roman" w:eastAsia="宋体" w:hAnsi="Times New Roman" w:cs="Times New Roman"/>
        </w:rPr>
        <w:t xml:space="preserve"> 5 mL 10% </w:t>
      </w:r>
      <w:r w:rsidRPr="000411F8">
        <w:rPr>
          <w:rFonts w:ascii="Times New Roman" w:eastAsia="宋体" w:hAnsi="Times New Roman" w:cs="Times New Roman"/>
        </w:rPr>
        <w:t>三氯乙酸（</w:t>
      </w:r>
      <w:r w:rsidRPr="000411F8">
        <w:rPr>
          <w:rFonts w:ascii="Times New Roman" w:eastAsia="宋体" w:hAnsi="Times New Roman" w:cs="Times New Roman"/>
        </w:rPr>
        <w:t>TCA</w:t>
      </w:r>
      <w:r w:rsidRPr="000411F8">
        <w:rPr>
          <w:rFonts w:ascii="Times New Roman" w:eastAsia="宋体" w:hAnsi="Times New Roman" w:cs="Times New Roman"/>
        </w:rPr>
        <w:t>）沉淀蛋白，离心（</w:t>
      </w:r>
      <w:r w:rsidRPr="000411F8">
        <w:rPr>
          <w:rFonts w:ascii="Times New Roman" w:eastAsia="宋体" w:hAnsi="Times New Roman" w:cs="Times New Roman"/>
        </w:rPr>
        <w:t>4000 rpm, 10 min</w:t>
      </w:r>
      <w:r w:rsidRPr="000411F8">
        <w:rPr>
          <w:rFonts w:ascii="Times New Roman" w:eastAsia="宋体" w:hAnsi="Times New Roman" w:cs="Times New Roman"/>
        </w:rPr>
        <w:t>）取上清。上清液用</w:t>
      </w:r>
      <w:r w:rsidRPr="000411F8">
        <w:rPr>
          <w:rFonts w:ascii="Times New Roman" w:eastAsia="宋体" w:hAnsi="Times New Roman" w:cs="Times New Roman"/>
        </w:rPr>
        <w:t xml:space="preserve"> 80% </w:t>
      </w:r>
      <w:r w:rsidRPr="000411F8">
        <w:rPr>
          <w:rFonts w:ascii="Times New Roman" w:eastAsia="宋体" w:hAnsi="Times New Roman" w:cs="Times New Roman"/>
        </w:rPr>
        <w:t>乙醇沉淀（</w:t>
      </w:r>
      <w:r w:rsidRPr="000411F8">
        <w:rPr>
          <w:rFonts w:ascii="Times New Roman" w:eastAsia="宋体" w:hAnsi="Times New Roman" w:cs="Times New Roman"/>
        </w:rPr>
        <w:t xml:space="preserve">4℃ </w:t>
      </w:r>
      <w:r w:rsidRPr="000411F8">
        <w:rPr>
          <w:rFonts w:ascii="Times New Roman" w:eastAsia="宋体" w:hAnsi="Times New Roman" w:cs="Times New Roman"/>
        </w:rPr>
        <w:t>过夜），离心后沉淀用蒸馏水复溶。</w:t>
      </w:r>
    </w:p>
    <w:p w14:paraId="7D0BC84A" w14:textId="77777777" w:rsidR="00F03F32" w:rsidRPr="00AC3ABD" w:rsidRDefault="00F03F32" w:rsidP="00F03F32">
      <w:pPr>
        <w:pStyle w:val="ListParagraph"/>
        <w:numPr>
          <w:ilvl w:val="0"/>
          <w:numId w:val="6"/>
        </w:numPr>
        <w:rPr>
          <w:rFonts w:ascii="Times New Roman" w:eastAsia="宋体" w:hAnsi="Times New Roman" w:cs="Times New Roman"/>
          <w:b/>
          <w:bCs/>
        </w:rPr>
      </w:pPr>
      <w:r w:rsidRPr="00AC3ABD">
        <w:rPr>
          <w:rFonts w:ascii="Times New Roman" w:eastAsia="宋体" w:hAnsi="Times New Roman" w:cs="Times New Roman"/>
          <w:b/>
          <w:bCs/>
        </w:rPr>
        <w:t>标准曲线的绘制</w:t>
      </w:r>
    </w:p>
    <w:p w14:paraId="2F0FACCB" w14:textId="053EC048" w:rsidR="00AC3ABD" w:rsidRPr="004D61CF" w:rsidRDefault="000411F8" w:rsidP="00971335">
      <w:pPr>
        <w:spacing w:line="360" w:lineRule="auto"/>
        <w:rPr>
          <w:rFonts w:ascii="宋体" w:eastAsia="宋体" w:hAnsi="宋体" w:cs="Times New Roman"/>
        </w:rPr>
      </w:pPr>
      <w:r w:rsidRPr="000411F8">
        <w:rPr>
          <w:rFonts w:ascii="Times New Roman" w:eastAsia="宋体" w:hAnsi="Times New Roman" w:cs="Times New Roman"/>
        </w:rPr>
        <w:t>精密称取</w:t>
      </w:r>
      <w:r w:rsidR="004149D2">
        <w:rPr>
          <w:rFonts w:ascii="Times New Roman" w:eastAsia="宋体" w:hAnsi="Times New Roman" w:cs="Times New Roman" w:hint="eastAsia"/>
        </w:rPr>
        <w:t>50</w:t>
      </w:r>
      <w:r w:rsidRPr="000411F8">
        <w:rPr>
          <w:rFonts w:ascii="Times New Roman" w:eastAsia="宋体" w:hAnsi="Times New Roman" w:cs="Times New Roman"/>
        </w:rPr>
        <w:t xml:space="preserve"> mg</w:t>
      </w:r>
      <w:r w:rsidRPr="000411F8">
        <w:rPr>
          <w:rFonts w:ascii="Times New Roman" w:eastAsia="宋体" w:hAnsi="Times New Roman" w:cs="Times New Roman"/>
        </w:rPr>
        <w:t>无水葡萄糖，加入纯水，配成</w:t>
      </w:r>
      <w:r w:rsidR="004D61CF">
        <w:rPr>
          <w:rFonts w:ascii="宋体" w:eastAsia="宋体" w:hAnsi="宋体" w:cs="Times New Roman" w:hint="eastAsia"/>
        </w:rPr>
        <w:t>0.01、0.02、0.05、0.1、0.2、0.5、1、2 mg/mL</w:t>
      </w:r>
      <w:r w:rsidRPr="000411F8">
        <w:rPr>
          <w:rFonts w:ascii="Times New Roman" w:eastAsia="宋体" w:hAnsi="Times New Roman" w:cs="Times New Roman"/>
        </w:rPr>
        <w:t>，</w:t>
      </w:r>
      <w:r w:rsidR="004D61CF">
        <w:rPr>
          <w:rFonts w:ascii="Times New Roman" w:eastAsia="宋体" w:hAnsi="Times New Roman" w:cs="Times New Roman" w:hint="eastAsia"/>
        </w:rPr>
        <w:t>再</w:t>
      </w:r>
      <w:r w:rsidRPr="000411F8">
        <w:rPr>
          <w:rFonts w:ascii="Times New Roman" w:eastAsia="宋体" w:hAnsi="Times New Roman" w:cs="Times New Roman"/>
        </w:rPr>
        <w:t>分别加入</w:t>
      </w:r>
      <w:r w:rsidRPr="000411F8">
        <w:rPr>
          <w:rFonts w:ascii="Times New Roman" w:eastAsia="宋体" w:hAnsi="Times New Roman" w:cs="Times New Roman"/>
        </w:rPr>
        <w:t>6 %</w:t>
      </w:r>
      <w:r w:rsidRPr="000411F8">
        <w:rPr>
          <w:rFonts w:ascii="Times New Roman" w:eastAsia="宋体" w:hAnsi="Times New Roman" w:cs="Times New Roman"/>
        </w:rPr>
        <w:t>的苯酚试剂摇匀，迅速加入浓硫酸，摇匀，放置</w:t>
      </w:r>
      <w:r w:rsidRPr="000411F8">
        <w:rPr>
          <w:rFonts w:ascii="Times New Roman" w:eastAsia="宋体" w:hAnsi="Times New Roman" w:cs="Times New Roman"/>
        </w:rPr>
        <w:t>5 min</w:t>
      </w:r>
      <w:r w:rsidRPr="000411F8">
        <w:rPr>
          <w:rFonts w:ascii="Times New Roman" w:eastAsia="宋体" w:hAnsi="Times New Roman" w:cs="Times New Roman"/>
        </w:rPr>
        <w:t>，置入沸水中</w:t>
      </w:r>
      <w:r w:rsidRPr="000411F8">
        <w:rPr>
          <w:rFonts w:ascii="Times New Roman" w:eastAsia="宋体" w:hAnsi="Times New Roman" w:cs="Times New Roman"/>
        </w:rPr>
        <w:t>15 min</w:t>
      </w:r>
      <w:r w:rsidRPr="000411F8">
        <w:rPr>
          <w:rFonts w:ascii="Times New Roman" w:eastAsia="宋体" w:hAnsi="Times New Roman" w:cs="Times New Roman"/>
        </w:rPr>
        <w:t>，取出冷却至室温，另以</w:t>
      </w:r>
      <w:r w:rsidRPr="000411F8">
        <w:rPr>
          <w:rFonts w:ascii="Times New Roman" w:eastAsia="宋体" w:hAnsi="Times New Roman" w:cs="Times New Roman"/>
        </w:rPr>
        <w:t>0.5 mL</w:t>
      </w:r>
      <w:r w:rsidRPr="000411F8">
        <w:rPr>
          <w:rFonts w:ascii="Times New Roman" w:eastAsia="宋体" w:hAnsi="Times New Roman" w:cs="Times New Roman"/>
        </w:rPr>
        <w:t>纯水进行相同操作进行对照。在</w:t>
      </w:r>
      <w:r w:rsidRPr="000411F8">
        <w:rPr>
          <w:rFonts w:ascii="Times New Roman" w:eastAsia="宋体" w:hAnsi="Times New Roman" w:cs="Times New Roman"/>
        </w:rPr>
        <w:t>490 nm</w:t>
      </w:r>
      <w:r w:rsidRPr="000411F8">
        <w:rPr>
          <w:rFonts w:ascii="Times New Roman" w:eastAsia="宋体" w:hAnsi="Times New Roman" w:cs="Times New Roman"/>
        </w:rPr>
        <w:t>波长处的酶标仪中测吸光度，并制作标准曲线。</w:t>
      </w:r>
    </w:p>
    <w:p w14:paraId="1057087E" w14:textId="25BFF3F7" w:rsidR="00F03F32" w:rsidRPr="00AC3ABD" w:rsidRDefault="00087413" w:rsidP="00F03F32">
      <w:pPr>
        <w:pStyle w:val="ListParagraph"/>
        <w:numPr>
          <w:ilvl w:val="0"/>
          <w:numId w:val="6"/>
        </w:numPr>
        <w:spacing w:line="360" w:lineRule="auto"/>
        <w:jc w:val="both"/>
        <w:rPr>
          <w:rFonts w:ascii="Times New Roman" w:eastAsia="宋体" w:hAnsi="Times New Roman" w:cs="Times New Roman"/>
          <w:b/>
          <w:bCs/>
        </w:rPr>
      </w:pPr>
      <w:r w:rsidRPr="00087413">
        <w:rPr>
          <w:rFonts w:ascii="Times New Roman" w:eastAsia="宋体" w:hAnsi="Times New Roman" w:cs="Times New Roman"/>
          <w:b/>
          <w:bCs/>
        </w:rPr>
        <w:t>DIGESTIVE CARE</w:t>
      </w:r>
      <w:r w:rsidR="00F03F32" w:rsidRPr="00AC3ABD">
        <w:rPr>
          <w:rFonts w:ascii="Times New Roman" w:eastAsia="宋体" w:hAnsi="Times New Roman" w:cs="Times New Roman"/>
          <w:b/>
          <w:bCs/>
        </w:rPr>
        <w:t>的</w:t>
      </w:r>
      <w:r w:rsidR="001749F6">
        <w:rPr>
          <w:rFonts w:ascii="Times New Roman" w:eastAsia="宋体" w:hAnsi="Times New Roman" w:cs="Times New Roman" w:hint="eastAsia"/>
          <w:b/>
          <w:bCs/>
        </w:rPr>
        <w:t>总蛋白</w:t>
      </w:r>
      <w:r w:rsidR="00F03F32" w:rsidRPr="00AC3ABD">
        <w:rPr>
          <w:rFonts w:ascii="Times New Roman" w:eastAsia="宋体" w:hAnsi="Times New Roman" w:cs="Times New Roman"/>
          <w:b/>
          <w:bCs/>
        </w:rPr>
        <w:t>含量测定</w:t>
      </w:r>
    </w:p>
    <w:p w14:paraId="531822B8" w14:textId="73F6477B" w:rsidR="00AC3ABD" w:rsidRPr="002F46F2" w:rsidRDefault="000411F8" w:rsidP="00A9542D">
      <w:pPr>
        <w:spacing w:line="360" w:lineRule="auto"/>
        <w:rPr>
          <w:rFonts w:ascii="Times New Roman" w:eastAsia="宋体" w:hAnsi="Times New Roman" w:cs="Times New Roman"/>
        </w:rPr>
      </w:pPr>
      <w:r w:rsidRPr="002F46F2">
        <w:rPr>
          <w:rFonts w:ascii="Times New Roman" w:eastAsia="宋体" w:hAnsi="Times New Roman" w:cs="Times New Roman"/>
        </w:rPr>
        <w:t>将制备好的</w:t>
      </w:r>
      <w:r w:rsidRPr="002F46F2">
        <w:rPr>
          <w:rFonts w:ascii="Times New Roman" w:eastAsia="宋体" w:hAnsi="Times New Roman" w:cs="Times New Roman"/>
        </w:rPr>
        <w:t>DIGESTIVE CARE</w:t>
      </w:r>
      <w:r w:rsidRPr="002F46F2">
        <w:rPr>
          <w:rFonts w:ascii="Times New Roman" w:eastAsia="宋体" w:hAnsi="Times New Roman" w:cs="Times New Roman"/>
        </w:rPr>
        <w:t>样品稀释成</w:t>
      </w:r>
      <w:r w:rsidRPr="002F46F2">
        <w:rPr>
          <w:rFonts w:ascii="Times New Roman" w:eastAsia="宋体" w:hAnsi="Times New Roman" w:cs="Times New Roman"/>
        </w:rPr>
        <w:t>6</w:t>
      </w:r>
      <w:r w:rsidRPr="002F46F2">
        <w:rPr>
          <w:rFonts w:ascii="Times New Roman" w:eastAsia="宋体" w:hAnsi="Times New Roman" w:cs="Times New Roman"/>
        </w:rPr>
        <w:t>个浓度，与上述葡萄糖溶液进行相同操作，将最终溶液在</w:t>
      </w:r>
      <w:r w:rsidRPr="002F46F2">
        <w:rPr>
          <w:rFonts w:ascii="Times New Roman" w:eastAsia="宋体" w:hAnsi="Times New Roman" w:cs="Times New Roman"/>
        </w:rPr>
        <w:t xml:space="preserve">490 nm </w:t>
      </w:r>
      <w:r w:rsidRPr="002F46F2">
        <w:rPr>
          <w:rFonts w:ascii="Times New Roman" w:eastAsia="宋体" w:hAnsi="Times New Roman" w:cs="Times New Roman"/>
        </w:rPr>
        <w:t>波长处的酶标仪中测吸光度，确保终浓度落在标准曲线线性范围内。</w:t>
      </w:r>
    </w:p>
    <w:p w14:paraId="23660B9C" w14:textId="55D30040" w:rsidR="00F03F32" w:rsidRDefault="00F03F32" w:rsidP="00F03F32">
      <w:pPr>
        <w:pStyle w:val="ListParagraph"/>
        <w:numPr>
          <w:ilvl w:val="0"/>
          <w:numId w:val="4"/>
        </w:numPr>
        <w:spacing w:line="360" w:lineRule="auto"/>
        <w:jc w:val="both"/>
        <w:rPr>
          <w:rFonts w:ascii="Times New Roman" w:eastAsia="宋体" w:hAnsi="Times New Roman" w:cs="Times New Roman"/>
          <w:b/>
          <w:bCs/>
        </w:rPr>
      </w:pPr>
      <w:r w:rsidRPr="00F03F32">
        <w:rPr>
          <w:rFonts w:ascii="Times New Roman" w:eastAsia="宋体" w:hAnsi="Times New Roman" w:cs="Times New Roman"/>
          <w:b/>
          <w:bCs/>
        </w:rPr>
        <w:t>DIGESTIVE CARE</w:t>
      </w:r>
      <w:r w:rsidRPr="00006BD0">
        <w:rPr>
          <w:rFonts w:ascii="Times New Roman" w:eastAsia="宋体" w:hAnsi="Times New Roman" w:cs="Times New Roman"/>
          <w:b/>
          <w:bCs/>
        </w:rPr>
        <w:t>的</w:t>
      </w:r>
      <w:r w:rsidR="001749F6">
        <w:rPr>
          <w:rFonts w:ascii="Times New Roman" w:eastAsia="宋体" w:hAnsi="Times New Roman" w:cs="Times New Roman" w:hint="eastAsia"/>
          <w:b/>
          <w:bCs/>
        </w:rPr>
        <w:t>总蛋白</w:t>
      </w:r>
      <w:r w:rsidRPr="00006BD0">
        <w:rPr>
          <w:rFonts w:ascii="Times New Roman" w:eastAsia="宋体" w:hAnsi="Times New Roman" w:cs="Times New Roman"/>
          <w:b/>
          <w:bCs/>
        </w:rPr>
        <w:t>含量测定</w:t>
      </w:r>
    </w:p>
    <w:p w14:paraId="712ECD90" w14:textId="2F47BF64" w:rsidR="00087413" w:rsidRPr="007338CB" w:rsidRDefault="00087413" w:rsidP="00087413">
      <w:pPr>
        <w:pStyle w:val="ListParagraph"/>
        <w:numPr>
          <w:ilvl w:val="0"/>
          <w:numId w:val="7"/>
        </w:numPr>
        <w:spacing w:line="360" w:lineRule="auto"/>
        <w:jc w:val="both"/>
        <w:rPr>
          <w:rFonts w:ascii="宋体" w:eastAsia="宋体" w:hAnsi="宋体" w:cs="Times New Roman"/>
          <w:b/>
          <w:bCs/>
        </w:rPr>
      </w:pPr>
      <w:r w:rsidRPr="00F03F32">
        <w:rPr>
          <w:rFonts w:ascii="Times New Roman" w:eastAsia="宋体" w:hAnsi="Times New Roman" w:cs="Times New Roman"/>
          <w:b/>
          <w:bCs/>
        </w:rPr>
        <w:t>DIGESTIVE CARE</w:t>
      </w:r>
      <w:r w:rsidRPr="00F03F32">
        <w:rPr>
          <w:rFonts w:ascii="Times New Roman" w:eastAsia="宋体" w:hAnsi="Times New Roman" w:cs="Times New Roman"/>
          <w:b/>
          <w:bCs/>
        </w:rPr>
        <w:t>样品制</w:t>
      </w:r>
      <w:r>
        <w:rPr>
          <w:rFonts w:ascii="Times New Roman" w:eastAsia="宋体" w:hAnsi="Times New Roman" w:cs="Times New Roman" w:hint="eastAsia"/>
          <w:b/>
          <w:bCs/>
        </w:rPr>
        <w:t>备</w:t>
      </w:r>
    </w:p>
    <w:p w14:paraId="4AA6BC62" w14:textId="2D09F613" w:rsidR="00322BCE" w:rsidRDefault="007338CB" w:rsidP="00971335">
      <w:pPr>
        <w:spacing w:line="360" w:lineRule="auto"/>
        <w:rPr>
          <w:rFonts w:ascii="Times New Roman" w:eastAsia="宋体" w:hAnsi="Times New Roman" w:cs="Times New Roman"/>
        </w:rPr>
      </w:pPr>
      <w:r w:rsidRPr="007338CB">
        <w:rPr>
          <w:rFonts w:ascii="Times New Roman" w:eastAsia="宋体" w:hAnsi="Times New Roman" w:cs="Times New Roman"/>
        </w:rPr>
        <w:t>准确称取</w:t>
      </w:r>
      <w:r w:rsidR="00BB41FF" w:rsidRPr="00BB41FF">
        <w:rPr>
          <w:rFonts w:ascii="Times New Roman" w:eastAsia="宋体" w:hAnsi="Times New Roman" w:cs="Times New Roman"/>
        </w:rPr>
        <w:t>DIGESTIVE CARE</w:t>
      </w:r>
      <w:r w:rsidRPr="007338CB">
        <w:rPr>
          <w:rFonts w:ascii="Times New Roman" w:eastAsia="宋体" w:hAnsi="Times New Roman" w:cs="Times New Roman"/>
        </w:rPr>
        <w:t>样品</w:t>
      </w:r>
      <w:r w:rsidRPr="007338CB">
        <w:rPr>
          <w:rFonts w:ascii="Times New Roman" w:eastAsia="宋体" w:hAnsi="Times New Roman" w:cs="Times New Roman"/>
        </w:rPr>
        <w:t xml:space="preserve">5g, </w:t>
      </w:r>
      <w:r w:rsidRPr="007338CB">
        <w:rPr>
          <w:rFonts w:ascii="Times New Roman" w:eastAsia="宋体" w:hAnsi="Times New Roman" w:cs="Times New Roman"/>
        </w:rPr>
        <w:t>按照料液比</w:t>
      </w:r>
      <w:r w:rsidRPr="007338CB">
        <w:rPr>
          <w:rFonts w:ascii="Times New Roman" w:eastAsia="宋体" w:hAnsi="Times New Roman" w:cs="Times New Roman"/>
        </w:rPr>
        <w:t>1:10 (g/ mL)</w:t>
      </w:r>
      <w:r w:rsidRPr="007338CB">
        <w:rPr>
          <w:rFonts w:ascii="Times New Roman" w:eastAsia="宋体" w:hAnsi="Times New Roman" w:cs="Times New Roman"/>
        </w:rPr>
        <w:t>加入</w:t>
      </w:r>
      <w:r w:rsidRPr="007338CB">
        <w:rPr>
          <w:rFonts w:ascii="Times New Roman" w:eastAsia="宋体" w:hAnsi="Times New Roman" w:cs="Times New Roman"/>
        </w:rPr>
        <w:t>pH</w:t>
      </w:r>
      <w:r w:rsidRPr="007338CB">
        <w:rPr>
          <w:rFonts w:ascii="Times New Roman" w:eastAsia="宋体" w:hAnsi="Times New Roman" w:cs="Times New Roman"/>
        </w:rPr>
        <w:t>为</w:t>
      </w:r>
      <w:r w:rsidRPr="007338CB">
        <w:rPr>
          <w:rFonts w:ascii="Times New Roman" w:eastAsia="宋体" w:hAnsi="Times New Roman" w:cs="Times New Roman"/>
        </w:rPr>
        <w:t>11</w:t>
      </w:r>
      <w:r w:rsidRPr="007338CB">
        <w:rPr>
          <w:rFonts w:ascii="Times New Roman" w:eastAsia="宋体" w:hAnsi="Times New Roman" w:cs="Times New Roman"/>
        </w:rPr>
        <w:t>的氢氧化钠溶液进行提取，提取温度为</w:t>
      </w:r>
      <w:r w:rsidRPr="007338CB">
        <w:rPr>
          <w:rFonts w:ascii="Times New Roman" w:eastAsia="宋体" w:hAnsi="Times New Roman" w:cs="Times New Roman"/>
        </w:rPr>
        <w:t>35°C</w:t>
      </w:r>
      <w:r w:rsidRPr="007338CB">
        <w:rPr>
          <w:rFonts w:ascii="Times New Roman" w:eastAsia="宋体" w:hAnsi="Times New Roman" w:cs="Times New Roman"/>
        </w:rPr>
        <w:t>，提取时间为</w:t>
      </w:r>
      <w:r w:rsidRPr="007338CB">
        <w:rPr>
          <w:rFonts w:ascii="Times New Roman" w:eastAsia="宋体" w:hAnsi="Times New Roman" w:cs="Times New Roman"/>
        </w:rPr>
        <w:t>1.5</w:t>
      </w:r>
      <w:r w:rsidRPr="007338CB">
        <w:rPr>
          <w:rFonts w:ascii="Times New Roman" w:eastAsia="宋体" w:hAnsi="Times New Roman" w:cs="Times New Roman"/>
        </w:rPr>
        <w:t>小时。</w:t>
      </w:r>
    </w:p>
    <w:p w14:paraId="406592C7" w14:textId="0B9A7E2D" w:rsidR="007338CB" w:rsidRPr="001749F6" w:rsidRDefault="007338CB" w:rsidP="00087413">
      <w:pPr>
        <w:pStyle w:val="ListParagraph"/>
        <w:numPr>
          <w:ilvl w:val="0"/>
          <w:numId w:val="7"/>
        </w:numPr>
        <w:spacing w:line="360" w:lineRule="auto"/>
        <w:jc w:val="both"/>
        <w:rPr>
          <w:rFonts w:ascii="宋体" w:eastAsia="宋体" w:hAnsi="宋体" w:cs="Times New Roman"/>
          <w:b/>
          <w:bCs/>
        </w:rPr>
      </w:pPr>
      <w:r w:rsidRPr="00AC3ABD">
        <w:rPr>
          <w:rFonts w:ascii="Times New Roman" w:eastAsia="宋体" w:hAnsi="Times New Roman" w:cs="Times New Roman"/>
          <w:b/>
          <w:bCs/>
        </w:rPr>
        <w:lastRenderedPageBreak/>
        <w:t>标准曲线的</w:t>
      </w:r>
      <w:r>
        <w:rPr>
          <w:rFonts w:ascii="Times New Roman" w:eastAsia="宋体" w:hAnsi="Times New Roman" w:cs="Times New Roman" w:hint="eastAsia"/>
          <w:b/>
          <w:bCs/>
        </w:rPr>
        <w:t>绘制</w:t>
      </w:r>
    </w:p>
    <w:p w14:paraId="01BD5356" w14:textId="392DA701" w:rsidR="001749F6" w:rsidRPr="001749F6" w:rsidRDefault="001749F6" w:rsidP="001749F6">
      <w:pPr>
        <w:spacing w:line="360" w:lineRule="auto"/>
        <w:jc w:val="both"/>
        <w:rPr>
          <w:rFonts w:ascii="Times New Roman" w:eastAsia="宋体" w:hAnsi="Times New Roman" w:cs="Times New Roman"/>
        </w:rPr>
      </w:pPr>
      <w:r w:rsidRPr="001749F6">
        <w:rPr>
          <w:rFonts w:ascii="Times New Roman" w:eastAsia="宋体" w:hAnsi="Times New Roman" w:cs="Times New Roman"/>
        </w:rPr>
        <w:t>将试剂盒中</w:t>
      </w:r>
      <w:r w:rsidRPr="001749F6">
        <w:rPr>
          <w:rFonts w:ascii="Times New Roman" w:eastAsia="宋体" w:hAnsi="Times New Roman" w:cs="Times New Roman"/>
        </w:rPr>
        <w:t>Reagent A</w:t>
      </w:r>
      <w:r w:rsidRPr="001749F6">
        <w:rPr>
          <w:rFonts w:ascii="Times New Roman" w:eastAsia="宋体" w:hAnsi="Times New Roman" w:cs="Times New Roman"/>
        </w:rPr>
        <w:t>和</w:t>
      </w:r>
      <w:r w:rsidRPr="001749F6">
        <w:rPr>
          <w:rFonts w:ascii="Times New Roman" w:eastAsia="宋体" w:hAnsi="Times New Roman" w:cs="Times New Roman"/>
        </w:rPr>
        <w:t xml:space="preserve"> Reagent B</w:t>
      </w:r>
      <w:r w:rsidRPr="001749F6">
        <w:rPr>
          <w:rFonts w:ascii="Times New Roman" w:eastAsia="宋体" w:hAnsi="Times New Roman" w:cs="Times New Roman"/>
        </w:rPr>
        <w:t>混合，使用试剂</w:t>
      </w:r>
      <w:proofErr w:type="gramStart"/>
      <w:r w:rsidRPr="001749F6">
        <w:rPr>
          <w:rFonts w:ascii="Times New Roman" w:eastAsia="宋体" w:hAnsi="Times New Roman" w:cs="Times New Roman"/>
        </w:rPr>
        <w:t>盒配套</w:t>
      </w:r>
      <w:proofErr w:type="gramEnd"/>
      <w:r w:rsidRPr="001749F6">
        <w:rPr>
          <w:rFonts w:ascii="Times New Roman" w:eastAsia="宋体" w:hAnsi="Times New Roman" w:cs="Times New Roman"/>
        </w:rPr>
        <w:t xml:space="preserve"> BSA </w:t>
      </w:r>
      <w:r w:rsidRPr="001749F6">
        <w:rPr>
          <w:rFonts w:ascii="Times New Roman" w:eastAsia="宋体" w:hAnsi="Times New Roman" w:cs="Times New Roman"/>
        </w:rPr>
        <w:t>标准品，配制</w:t>
      </w:r>
      <w:r w:rsidRPr="001749F6">
        <w:rPr>
          <w:rFonts w:ascii="Times New Roman" w:eastAsia="宋体" w:hAnsi="Times New Roman" w:cs="Times New Roman"/>
        </w:rPr>
        <w:t xml:space="preserve"> 0.3125</w:t>
      </w:r>
      <w:r w:rsidRPr="001749F6">
        <w:rPr>
          <w:rFonts w:ascii="Times New Roman" w:eastAsia="宋体" w:hAnsi="Times New Roman" w:cs="Times New Roman"/>
        </w:rPr>
        <w:t>、</w:t>
      </w:r>
      <w:r w:rsidRPr="001749F6">
        <w:rPr>
          <w:rFonts w:ascii="Times New Roman" w:eastAsia="宋体" w:hAnsi="Times New Roman" w:cs="Times New Roman"/>
        </w:rPr>
        <w:t>0.625</w:t>
      </w:r>
      <w:r w:rsidRPr="001749F6">
        <w:rPr>
          <w:rFonts w:ascii="Times New Roman" w:eastAsia="宋体" w:hAnsi="Times New Roman" w:cs="Times New Roman"/>
        </w:rPr>
        <w:t>、</w:t>
      </w:r>
      <w:r w:rsidRPr="001749F6">
        <w:rPr>
          <w:rFonts w:ascii="Times New Roman" w:eastAsia="宋体" w:hAnsi="Times New Roman" w:cs="Times New Roman"/>
        </w:rPr>
        <w:t>1.25</w:t>
      </w:r>
      <w:r w:rsidRPr="001749F6">
        <w:rPr>
          <w:rFonts w:ascii="Times New Roman" w:eastAsia="宋体" w:hAnsi="Times New Roman" w:cs="Times New Roman"/>
        </w:rPr>
        <w:t>、</w:t>
      </w:r>
      <w:r w:rsidRPr="001749F6">
        <w:rPr>
          <w:rFonts w:ascii="Times New Roman" w:eastAsia="宋体" w:hAnsi="Times New Roman" w:cs="Times New Roman"/>
        </w:rPr>
        <w:t>2.5</w:t>
      </w:r>
      <w:r w:rsidRPr="001749F6">
        <w:rPr>
          <w:rFonts w:ascii="Times New Roman" w:eastAsia="宋体" w:hAnsi="Times New Roman" w:cs="Times New Roman"/>
        </w:rPr>
        <w:t>、</w:t>
      </w:r>
      <w:r w:rsidRPr="001749F6">
        <w:rPr>
          <w:rFonts w:ascii="Times New Roman" w:eastAsia="宋体" w:hAnsi="Times New Roman" w:cs="Times New Roman"/>
        </w:rPr>
        <w:t>5</w:t>
      </w:r>
      <w:r w:rsidRPr="001749F6">
        <w:rPr>
          <w:rFonts w:ascii="Times New Roman" w:eastAsia="宋体" w:hAnsi="Times New Roman" w:cs="Times New Roman"/>
        </w:rPr>
        <w:t>、</w:t>
      </w:r>
      <w:r w:rsidRPr="001749F6">
        <w:rPr>
          <w:rFonts w:ascii="Times New Roman" w:eastAsia="宋体" w:hAnsi="Times New Roman" w:cs="Times New Roman"/>
        </w:rPr>
        <w:t xml:space="preserve">10 μg/mL </w:t>
      </w:r>
      <w:r w:rsidRPr="001749F6">
        <w:rPr>
          <w:rFonts w:ascii="Times New Roman" w:eastAsia="宋体" w:hAnsi="Times New Roman" w:cs="Times New Roman"/>
        </w:rPr>
        <w:t>的梯度，</w:t>
      </w:r>
      <w:r w:rsidRPr="001749F6">
        <w:rPr>
          <w:rFonts w:ascii="Times New Roman" w:eastAsia="宋体" w:hAnsi="Times New Roman" w:cs="Times New Roman"/>
        </w:rPr>
        <w:t xml:space="preserve">37℃ </w:t>
      </w:r>
      <w:r w:rsidRPr="001749F6">
        <w:rPr>
          <w:rFonts w:ascii="Times New Roman" w:eastAsia="宋体" w:hAnsi="Times New Roman" w:cs="Times New Roman"/>
        </w:rPr>
        <w:t>避光孵育</w:t>
      </w:r>
      <w:r w:rsidRPr="001749F6">
        <w:rPr>
          <w:rFonts w:ascii="Times New Roman" w:eastAsia="宋体" w:hAnsi="Times New Roman" w:cs="Times New Roman"/>
        </w:rPr>
        <w:t xml:space="preserve"> 30 min</w:t>
      </w:r>
      <w:r w:rsidRPr="001749F6">
        <w:rPr>
          <w:rFonts w:ascii="Times New Roman" w:eastAsia="宋体" w:hAnsi="Times New Roman" w:cs="Times New Roman"/>
        </w:rPr>
        <w:t>后使用酶标仪测定样本在</w:t>
      </w:r>
      <w:r w:rsidRPr="001749F6">
        <w:rPr>
          <w:rFonts w:ascii="Times New Roman" w:eastAsia="宋体" w:hAnsi="Times New Roman" w:cs="Times New Roman"/>
        </w:rPr>
        <w:t xml:space="preserve"> 562 nm </w:t>
      </w:r>
      <w:r w:rsidRPr="001749F6">
        <w:rPr>
          <w:rFonts w:ascii="Times New Roman" w:eastAsia="宋体" w:hAnsi="Times New Roman" w:cs="Times New Roman"/>
        </w:rPr>
        <w:t>处的吸光度值。</w:t>
      </w:r>
    </w:p>
    <w:p w14:paraId="753BE21F" w14:textId="26C03D55" w:rsidR="007338CB" w:rsidRDefault="007338CB" w:rsidP="003E7D3E">
      <w:pPr>
        <w:pStyle w:val="ListParagraph"/>
        <w:numPr>
          <w:ilvl w:val="0"/>
          <w:numId w:val="7"/>
        </w:numPr>
        <w:spacing w:line="360" w:lineRule="auto"/>
        <w:jc w:val="both"/>
        <w:rPr>
          <w:rFonts w:ascii="宋体" w:eastAsia="宋体" w:hAnsi="宋体" w:cs="Times New Roman"/>
          <w:b/>
          <w:bCs/>
        </w:rPr>
      </w:pPr>
      <w:r w:rsidRPr="00F03F32">
        <w:rPr>
          <w:rFonts w:ascii="Times New Roman" w:eastAsia="宋体" w:hAnsi="Times New Roman" w:cs="Times New Roman"/>
          <w:b/>
          <w:bCs/>
        </w:rPr>
        <w:t>DIGESTIVE CARE</w:t>
      </w:r>
      <w:r w:rsidRPr="007338CB">
        <w:rPr>
          <w:rFonts w:ascii="宋体" w:eastAsia="宋体" w:hAnsi="宋体" w:cs="Times New Roman"/>
          <w:b/>
          <w:bCs/>
        </w:rPr>
        <w:t>的蛋白含量测定</w:t>
      </w:r>
    </w:p>
    <w:p w14:paraId="1B6076A6" w14:textId="7801FDC1" w:rsidR="00BB41FF" w:rsidRPr="00BB41FF" w:rsidRDefault="00BB41FF" w:rsidP="00BB41FF">
      <w:pPr>
        <w:spacing w:line="360" w:lineRule="auto"/>
        <w:jc w:val="both"/>
        <w:rPr>
          <w:rFonts w:ascii="Times New Roman" w:eastAsia="宋体" w:hAnsi="Times New Roman" w:cs="Times New Roman"/>
        </w:rPr>
      </w:pPr>
      <w:r w:rsidRPr="00BB41FF">
        <w:rPr>
          <w:rFonts w:ascii="Times New Roman" w:eastAsia="宋体" w:hAnsi="Times New Roman" w:cs="Times New Roman"/>
        </w:rPr>
        <w:t>将</w:t>
      </w:r>
      <w:r w:rsidR="00522814">
        <w:rPr>
          <w:rFonts w:ascii="Times New Roman" w:eastAsia="宋体" w:hAnsi="Times New Roman" w:cs="Times New Roman" w:hint="eastAsia"/>
        </w:rPr>
        <w:t>制备好的</w:t>
      </w:r>
      <w:r w:rsidRPr="00BB41FF">
        <w:rPr>
          <w:rFonts w:ascii="Times New Roman" w:eastAsia="宋体" w:hAnsi="Times New Roman" w:cs="Times New Roman"/>
        </w:rPr>
        <w:t>DIGESTIVE CARE</w:t>
      </w:r>
      <w:r w:rsidR="00522814">
        <w:rPr>
          <w:rFonts w:ascii="Times New Roman" w:eastAsia="宋体" w:hAnsi="Times New Roman" w:cs="Times New Roman" w:hint="eastAsia"/>
        </w:rPr>
        <w:t>样品</w:t>
      </w:r>
      <w:r w:rsidRPr="00BB41FF">
        <w:rPr>
          <w:rFonts w:ascii="Times New Roman" w:eastAsia="宋体" w:hAnsi="Times New Roman" w:cs="Times New Roman"/>
        </w:rPr>
        <w:t>稀释成</w:t>
      </w:r>
      <w:r w:rsidRPr="00BB41FF">
        <w:rPr>
          <w:rFonts w:ascii="Times New Roman" w:eastAsia="宋体" w:hAnsi="Times New Roman" w:cs="Times New Roman"/>
        </w:rPr>
        <w:t>6</w:t>
      </w:r>
      <w:r w:rsidRPr="00BB41FF">
        <w:rPr>
          <w:rFonts w:ascii="Times New Roman" w:eastAsia="宋体" w:hAnsi="Times New Roman" w:cs="Times New Roman"/>
        </w:rPr>
        <w:t>个浓度，加入</w:t>
      </w:r>
      <w:r w:rsidRPr="00BB41FF">
        <w:rPr>
          <w:rFonts w:ascii="Times New Roman" w:eastAsia="宋体" w:hAnsi="Times New Roman" w:cs="Times New Roman"/>
        </w:rPr>
        <w:t>Reagent A</w:t>
      </w:r>
      <w:r w:rsidRPr="00BB41FF">
        <w:rPr>
          <w:rFonts w:ascii="Times New Roman" w:eastAsia="宋体" w:hAnsi="Times New Roman" w:cs="Times New Roman"/>
        </w:rPr>
        <w:t>和</w:t>
      </w:r>
      <w:r w:rsidRPr="00BB41FF">
        <w:rPr>
          <w:rFonts w:ascii="Times New Roman" w:eastAsia="宋体" w:hAnsi="Times New Roman" w:cs="Times New Roman"/>
        </w:rPr>
        <w:t xml:space="preserve"> Reagent B</w:t>
      </w:r>
      <w:r w:rsidRPr="00BB41FF">
        <w:rPr>
          <w:rFonts w:ascii="Times New Roman" w:eastAsia="宋体" w:hAnsi="Times New Roman" w:cs="Times New Roman"/>
        </w:rPr>
        <w:t>混合液。</w:t>
      </w:r>
      <w:r w:rsidRPr="00BB41FF">
        <w:rPr>
          <w:rFonts w:ascii="Times New Roman" w:eastAsia="宋体" w:hAnsi="Times New Roman" w:cs="Times New Roman"/>
        </w:rPr>
        <w:t>37℃</w:t>
      </w:r>
      <w:r w:rsidR="00DE00D1">
        <w:rPr>
          <w:rFonts w:ascii="Times New Roman" w:eastAsia="宋体" w:hAnsi="Times New Roman" w:cs="Times New Roman" w:hint="eastAsia"/>
        </w:rPr>
        <w:t xml:space="preserve"> </w:t>
      </w:r>
      <w:r w:rsidRPr="00BB41FF">
        <w:rPr>
          <w:rFonts w:ascii="Times New Roman" w:eastAsia="宋体" w:hAnsi="Times New Roman" w:cs="Times New Roman"/>
        </w:rPr>
        <w:t>避光孵育</w:t>
      </w:r>
      <w:r w:rsidRPr="00BB41FF">
        <w:rPr>
          <w:rFonts w:ascii="Times New Roman" w:eastAsia="宋体" w:hAnsi="Times New Roman" w:cs="Times New Roman"/>
        </w:rPr>
        <w:t xml:space="preserve"> 30 min</w:t>
      </w:r>
      <w:r w:rsidRPr="00BB41FF">
        <w:rPr>
          <w:rFonts w:ascii="Times New Roman" w:eastAsia="宋体" w:hAnsi="Times New Roman" w:cs="Times New Roman"/>
        </w:rPr>
        <w:t>后使用酶标仪测定样本在</w:t>
      </w:r>
      <w:r w:rsidRPr="00BB41FF">
        <w:rPr>
          <w:rFonts w:ascii="Times New Roman" w:eastAsia="宋体" w:hAnsi="Times New Roman" w:cs="Times New Roman"/>
        </w:rPr>
        <w:t xml:space="preserve"> 562 nm </w:t>
      </w:r>
      <w:r w:rsidRPr="00BB41FF">
        <w:rPr>
          <w:rFonts w:ascii="Times New Roman" w:eastAsia="宋体" w:hAnsi="Times New Roman" w:cs="Times New Roman"/>
        </w:rPr>
        <w:t>处的吸光度值，确保终浓度落在线性范围内。</w:t>
      </w:r>
    </w:p>
    <w:p w14:paraId="48C18FF9" w14:textId="6E3B30F1" w:rsidR="00F03F32" w:rsidRDefault="00F03F32" w:rsidP="00F03F32">
      <w:pPr>
        <w:pStyle w:val="ListParagraph"/>
        <w:numPr>
          <w:ilvl w:val="0"/>
          <w:numId w:val="4"/>
        </w:numPr>
        <w:spacing w:line="360" w:lineRule="auto"/>
        <w:jc w:val="both"/>
        <w:rPr>
          <w:rFonts w:ascii="Times New Roman" w:eastAsia="宋体" w:hAnsi="Times New Roman" w:cs="Times New Roman"/>
          <w:b/>
          <w:bCs/>
        </w:rPr>
      </w:pPr>
      <w:r w:rsidRPr="00F03F32">
        <w:rPr>
          <w:rFonts w:ascii="Times New Roman" w:eastAsia="宋体" w:hAnsi="Times New Roman" w:cs="Times New Roman"/>
          <w:b/>
          <w:bCs/>
        </w:rPr>
        <w:t>DIGESTIVE CARE</w:t>
      </w:r>
      <w:r w:rsidRPr="00006BD0">
        <w:rPr>
          <w:rFonts w:ascii="Times New Roman" w:eastAsia="宋体" w:hAnsi="Times New Roman" w:cs="Times New Roman"/>
          <w:b/>
          <w:bCs/>
        </w:rPr>
        <w:t>的</w:t>
      </w:r>
      <w:r w:rsidR="006D37B7">
        <w:rPr>
          <w:rFonts w:ascii="Times New Roman" w:eastAsia="宋体" w:hAnsi="Times New Roman" w:cs="Times New Roman" w:hint="eastAsia"/>
          <w:b/>
          <w:bCs/>
        </w:rPr>
        <w:t>总多酚</w:t>
      </w:r>
      <w:r w:rsidRPr="00006BD0">
        <w:rPr>
          <w:rFonts w:ascii="Times New Roman" w:eastAsia="宋体" w:hAnsi="Times New Roman" w:cs="Times New Roman"/>
          <w:b/>
          <w:bCs/>
        </w:rPr>
        <w:t>含量测定</w:t>
      </w:r>
    </w:p>
    <w:p w14:paraId="2199E001" w14:textId="609E11CD" w:rsidR="00C40C30" w:rsidRDefault="00C40C30" w:rsidP="00C40C30">
      <w:pPr>
        <w:pStyle w:val="ListParagraph"/>
        <w:numPr>
          <w:ilvl w:val="0"/>
          <w:numId w:val="9"/>
        </w:numPr>
        <w:spacing w:line="360" w:lineRule="auto"/>
        <w:jc w:val="both"/>
        <w:rPr>
          <w:rFonts w:ascii="宋体" w:eastAsia="宋体" w:hAnsi="宋体" w:cs="Times New Roman"/>
          <w:b/>
          <w:bCs/>
        </w:rPr>
      </w:pPr>
      <w:r w:rsidRPr="00C40C30">
        <w:rPr>
          <w:rFonts w:ascii="Times New Roman" w:eastAsia="宋体" w:hAnsi="Times New Roman" w:cs="Times New Roman"/>
          <w:b/>
          <w:bCs/>
        </w:rPr>
        <w:t>DIGESTIVE CARE</w:t>
      </w:r>
      <w:r w:rsidRPr="00C40C30">
        <w:rPr>
          <w:rFonts w:ascii="宋体" w:eastAsia="宋体" w:hAnsi="宋体" w:cs="Times New Roman"/>
          <w:b/>
          <w:bCs/>
        </w:rPr>
        <w:t>的样品制备</w:t>
      </w:r>
    </w:p>
    <w:p w14:paraId="4873F940" w14:textId="571CF1DD" w:rsidR="00232879" w:rsidRPr="00232879" w:rsidRDefault="00ED2997" w:rsidP="00D41D1C">
      <w:pPr>
        <w:spacing w:line="360" w:lineRule="auto"/>
        <w:rPr>
          <w:rFonts w:ascii="宋体" w:eastAsia="宋体" w:hAnsi="宋体"/>
        </w:rPr>
      </w:pPr>
      <w:r w:rsidRPr="000411F8">
        <w:rPr>
          <w:rFonts w:ascii="Times New Roman" w:eastAsia="宋体" w:hAnsi="Times New Roman" w:cs="Times New Roman"/>
        </w:rPr>
        <w:t>精密称取</w:t>
      </w:r>
      <w:r w:rsidRPr="000411F8">
        <w:rPr>
          <w:rFonts w:ascii="Times New Roman" w:eastAsia="宋体" w:hAnsi="Times New Roman" w:cs="Times New Roman"/>
        </w:rPr>
        <w:t>DIGESTIVE CARE</w:t>
      </w:r>
      <w:r w:rsidRPr="000411F8">
        <w:rPr>
          <w:rFonts w:ascii="Times New Roman" w:eastAsia="宋体" w:hAnsi="Times New Roman" w:cs="Times New Roman"/>
        </w:rPr>
        <w:t>样品</w:t>
      </w:r>
      <w:r w:rsidRPr="000411F8">
        <w:rPr>
          <w:rFonts w:ascii="Times New Roman" w:eastAsia="宋体" w:hAnsi="Times New Roman" w:cs="Times New Roman"/>
        </w:rPr>
        <w:t>1.0 g</w:t>
      </w:r>
      <w:r w:rsidRPr="000411F8">
        <w:rPr>
          <w:rFonts w:ascii="Times New Roman" w:eastAsia="宋体" w:hAnsi="Times New Roman" w:cs="Times New Roman"/>
        </w:rPr>
        <w:t>，</w:t>
      </w:r>
      <w:r w:rsidRPr="00ED2997">
        <w:rPr>
          <w:rFonts w:ascii="Times New Roman" w:eastAsia="宋体" w:hAnsi="Times New Roman" w:cs="Times New Roman"/>
        </w:rPr>
        <w:t>加入</w:t>
      </w:r>
      <w:r w:rsidRPr="00ED2997">
        <w:rPr>
          <w:rFonts w:ascii="Times New Roman" w:eastAsia="宋体" w:hAnsi="Times New Roman" w:cs="Times New Roman"/>
        </w:rPr>
        <w:t>20 mL 70%</w:t>
      </w:r>
      <w:r w:rsidRPr="00ED2997">
        <w:rPr>
          <w:rFonts w:ascii="Times New Roman" w:eastAsia="宋体" w:hAnsi="Times New Roman" w:cs="Times New Roman"/>
        </w:rPr>
        <w:t>甲醇，超声提取</w:t>
      </w:r>
      <w:r w:rsidRPr="00ED2997">
        <w:rPr>
          <w:rFonts w:ascii="Times New Roman" w:eastAsia="宋体" w:hAnsi="Times New Roman" w:cs="Times New Roman"/>
        </w:rPr>
        <w:t>30</w:t>
      </w:r>
      <w:r w:rsidR="00BE1DEB">
        <w:rPr>
          <w:rFonts w:ascii="Times New Roman" w:eastAsia="宋体" w:hAnsi="Times New Roman" w:cs="Times New Roman" w:hint="eastAsia"/>
        </w:rPr>
        <w:t xml:space="preserve"> </w:t>
      </w:r>
      <w:r w:rsidR="00BE1DEB">
        <w:rPr>
          <w:rFonts w:ascii="Times New Roman" w:eastAsia="宋体" w:hAnsi="Times New Roman" w:cs="Times New Roman" w:hint="eastAsia"/>
        </w:rPr>
        <w:t>分钟</w:t>
      </w:r>
      <w:r>
        <w:rPr>
          <w:rFonts w:ascii="Times New Roman" w:eastAsia="宋体" w:hAnsi="Times New Roman" w:cs="Times New Roman" w:hint="eastAsia"/>
        </w:rPr>
        <w:t>，</w:t>
      </w:r>
      <w:r w:rsidRPr="00ED2997">
        <w:rPr>
          <w:rFonts w:ascii="Times New Roman" w:eastAsia="宋体" w:hAnsi="Times New Roman" w:cs="Times New Roman"/>
        </w:rPr>
        <w:t>过滤，</w:t>
      </w:r>
      <w:proofErr w:type="gramStart"/>
      <w:r w:rsidRPr="00ED2997">
        <w:rPr>
          <w:rFonts w:ascii="Times New Roman" w:eastAsia="宋体" w:hAnsi="Times New Roman" w:cs="Times New Roman"/>
        </w:rPr>
        <w:t>取续滤液</w:t>
      </w:r>
      <w:proofErr w:type="gramEnd"/>
      <w:r w:rsidRPr="00ED2997">
        <w:rPr>
          <w:rFonts w:ascii="Times New Roman" w:eastAsia="宋体" w:hAnsi="Times New Roman" w:cs="Times New Roman"/>
        </w:rPr>
        <w:t>作为</w:t>
      </w:r>
      <w:proofErr w:type="gramStart"/>
      <w:r w:rsidRPr="00ED2997">
        <w:rPr>
          <w:rFonts w:ascii="Times New Roman" w:eastAsia="宋体" w:hAnsi="Times New Roman" w:cs="Times New Roman"/>
        </w:rPr>
        <w:t>供试品溶液</w:t>
      </w:r>
      <w:proofErr w:type="gramEnd"/>
      <w:r w:rsidRPr="00ED2997">
        <w:rPr>
          <w:rFonts w:ascii="Times New Roman" w:eastAsia="宋体" w:hAnsi="Times New Roman" w:cs="Times New Roman"/>
        </w:rPr>
        <w:t>。</w:t>
      </w:r>
    </w:p>
    <w:p w14:paraId="4615D6D7" w14:textId="09875704" w:rsidR="00232879" w:rsidRPr="00232879" w:rsidRDefault="00232879" w:rsidP="00232879">
      <w:pPr>
        <w:pStyle w:val="ListParagraph"/>
        <w:numPr>
          <w:ilvl w:val="0"/>
          <w:numId w:val="9"/>
        </w:numPr>
        <w:spacing w:line="360" w:lineRule="auto"/>
        <w:jc w:val="both"/>
        <w:rPr>
          <w:rFonts w:ascii="宋体" w:eastAsia="宋体" w:hAnsi="宋体" w:cs="Times New Roman"/>
          <w:b/>
          <w:bCs/>
        </w:rPr>
      </w:pPr>
      <w:r>
        <w:rPr>
          <w:rFonts w:ascii="Times New Roman" w:eastAsia="宋体" w:hAnsi="Times New Roman" w:cs="Times New Roman" w:hint="eastAsia"/>
          <w:b/>
          <w:bCs/>
        </w:rPr>
        <w:t>标准曲线的绘制</w:t>
      </w:r>
    </w:p>
    <w:p w14:paraId="50CC0E23" w14:textId="3CA9A600" w:rsidR="00321A7C" w:rsidRPr="00C56505" w:rsidRDefault="00ED2997" w:rsidP="004B5B60">
      <w:pPr>
        <w:spacing w:line="360" w:lineRule="auto"/>
        <w:jc w:val="both"/>
        <w:rPr>
          <w:rFonts w:ascii="Times New Roman" w:eastAsia="宋体" w:hAnsi="Times New Roman" w:cs="Times New Roman"/>
        </w:rPr>
      </w:pPr>
      <w:r w:rsidRPr="00C56505">
        <w:rPr>
          <w:rFonts w:ascii="Times New Roman" w:eastAsia="宋体" w:hAnsi="Times New Roman" w:cs="Times New Roman"/>
        </w:rPr>
        <w:t>精密称取没食子酸</w:t>
      </w:r>
      <w:r w:rsidR="004B5B60" w:rsidRPr="005766EF">
        <w:rPr>
          <w:rFonts w:ascii="Times New Roman" w:eastAsia="宋体" w:hAnsi="Times New Roman" w:cs="Times New Roman"/>
        </w:rPr>
        <w:t>标准品</w:t>
      </w:r>
      <w:r w:rsidR="00321A7C" w:rsidRPr="00C56505">
        <w:rPr>
          <w:rFonts w:ascii="Times New Roman" w:eastAsia="宋体" w:hAnsi="Times New Roman" w:cs="Times New Roman"/>
        </w:rPr>
        <w:t>5</w:t>
      </w:r>
      <w:r w:rsidRPr="00C56505">
        <w:rPr>
          <w:rFonts w:ascii="Times New Roman" w:eastAsia="宋体" w:hAnsi="Times New Roman" w:cs="Times New Roman"/>
        </w:rPr>
        <w:t>0 mg</w:t>
      </w:r>
      <w:r w:rsidRPr="00C56505">
        <w:rPr>
          <w:rFonts w:ascii="Times New Roman" w:eastAsia="宋体" w:hAnsi="Times New Roman" w:cs="Times New Roman"/>
        </w:rPr>
        <w:t>，用</w:t>
      </w:r>
      <w:r w:rsidRPr="00C56505">
        <w:rPr>
          <w:rFonts w:ascii="Times New Roman" w:eastAsia="宋体" w:hAnsi="Times New Roman" w:cs="Times New Roman"/>
        </w:rPr>
        <w:t>30%</w:t>
      </w:r>
      <w:r w:rsidRPr="00C56505">
        <w:rPr>
          <w:rFonts w:ascii="Times New Roman" w:eastAsia="宋体" w:hAnsi="Times New Roman" w:cs="Times New Roman"/>
        </w:rPr>
        <w:t>甲醇溶解配置成</w:t>
      </w:r>
      <w:r w:rsidR="00321A7C" w:rsidRPr="00C56505">
        <w:rPr>
          <w:rFonts w:ascii="Times New Roman" w:eastAsia="宋体" w:hAnsi="Times New Roman" w:cs="Times New Roman"/>
        </w:rPr>
        <w:t>0.01</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0.02</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0.05</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0.1</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0.2</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0.5</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1</w:t>
      </w:r>
      <w:r w:rsidR="00321A7C" w:rsidRPr="00C56505">
        <w:rPr>
          <w:rFonts w:ascii="Times New Roman" w:eastAsia="宋体" w:hAnsi="Times New Roman" w:cs="Times New Roman"/>
        </w:rPr>
        <w:t>、</w:t>
      </w:r>
      <w:r w:rsidR="00321A7C" w:rsidRPr="00C56505">
        <w:rPr>
          <w:rFonts w:ascii="Times New Roman" w:eastAsia="宋体" w:hAnsi="Times New Roman" w:cs="Times New Roman"/>
        </w:rPr>
        <w:t>2 mg/mL</w:t>
      </w:r>
      <w:r w:rsidR="00C56505" w:rsidRPr="00C56505">
        <w:rPr>
          <w:rFonts w:ascii="Times New Roman" w:eastAsia="宋体" w:hAnsi="Times New Roman" w:cs="Times New Roman"/>
        </w:rPr>
        <w:t>，依次加入</w:t>
      </w:r>
      <w:r w:rsidR="00C56505" w:rsidRPr="00C56505">
        <w:rPr>
          <w:rFonts w:ascii="Times New Roman" w:eastAsia="宋体" w:hAnsi="Times New Roman" w:cs="Times New Roman"/>
        </w:rPr>
        <w:t>Folin-Ciocalteu</w:t>
      </w:r>
      <w:r w:rsidR="00C56505" w:rsidRPr="00C56505">
        <w:rPr>
          <w:rFonts w:ascii="Times New Roman" w:eastAsia="宋体" w:hAnsi="Times New Roman" w:cs="Times New Roman"/>
        </w:rPr>
        <w:t>试剂和</w:t>
      </w:r>
      <w:r w:rsidR="00C56505" w:rsidRPr="00C56505">
        <w:rPr>
          <w:rFonts w:ascii="Times New Roman" w:eastAsia="宋体" w:hAnsi="Times New Roman" w:cs="Times New Roman"/>
        </w:rPr>
        <w:t>7.5% Na</w:t>
      </w:r>
      <w:r w:rsidR="00C56505" w:rsidRPr="00C56505">
        <w:rPr>
          <w:rFonts w:ascii="Times New Roman" w:eastAsia="宋体" w:hAnsi="Times New Roman" w:cs="Times New Roman"/>
          <w:vertAlign w:val="subscript"/>
        </w:rPr>
        <w:t>2</w:t>
      </w:r>
      <w:r w:rsidR="00C56505" w:rsidRPr="00C56505">
        <w:rPr>
          <w:rFonts w:ascii="Times New Roman" w:eastAsia="宋体" w:hAnsi="Times New Roman" w:cs="Times New Roman"/>
        </w:rPr>
        <w:t>CO</w:t>
      </w:r>
      <w:r w:rsidR="00C56505" w:rsidRPr="00C56505">
        <w:rPr>
          <w:rFonts w:ascii="Times New Roman" w:eastAsia="宋体" w:hAnsi="Times New Roman" w:cs="Times New Roman"/>
          <w:vertAlign w:val="subscript"/>
        </w:rPr>
        <w:t>3</w:t>
      </w:r>
      <w:r w:rsidR="00C56505" w:rsidRPr="00C56505">
        <w:rPr>
          <w:rFonts w:ascii="Times New Roman" w:eastAsia="宋体" w:hAnsi="Times New Roman" w:cs="Times New Roman"/>
        </w:rPr>
        <w:t>溶液</w:t>
      </w:r>
      <w:r w:rsidR="00C56505">
        <w:rPr>
          <w:rFonts w:ascii="Times New Roman" w:eastAsia="宋体" w:hAnsi="Times New Roman" w:cs="Times New Roman" w:hint="eastAsia"/>
        </w:rPr>
        <w:t>，混匀后于</w:t>
      </w:r>
      <w:r w:rsidR="00C56505" w:rsidRPr="000411F8">
        <w:rPr>
          <w:rFonts w:ascii="Times New Roman" w:eastAsia="宋体" w:hAnsi="Times New Roman" w:cs="Times New Roman"/>
        </w:rPr>
        <w:t>在</w:t>
      </w:r>
      <w:r w:rsidR="00C56505">
        <w:rPr>
          <w:rFonts w:ascii="Times New Roman" w:eastAsia="宋体" w:hAnsi="Times New Roman" w:cs="Times New Roman" w:hint="eastAsia"/>
        </w:rPr>
        <w:t>760</w:t>
      </w:r>
      <w:r w:rsidR="00C56505" w:rsidRPr="000411F8">
        <w:rPr>
          <w:rFonts w:ascii="Times New Roman" w:eastAsia="宋体" w:hAnsi="Times New Roman" w:cs="Times New Roman"/>
        </w:rPr>
        <w:t xml:space="preserve"> nm</w:t>
      </w:r>
      <w:r w:rsidR="00C56505" w:rsidRPr="000411F8">
        <w:rPr>
          <w:rFonts w:ascii="Times New Roman" w:eastAsia="宋体" w:hAnsi="Times New Roman" w:cs="Times New Roman"/>
        </w:rPr>
        <w:t>波长处的酶标仪中测吸光度，并制作标准曲线</w:t>
      </w:r>
      <w:r w:rsidR="00C56505">
        <w:rPr>
          <w:rFonts w:ascii="Times New Roman" w:eastAsia="宋体" w:hAnsi="Times New Roman" w:cs="Times New Roman" w:hint="eastAsia"/>
        </w:rPr>
        <w:t>。</w:t>
      </w:r>
    </w:p>
    <w:p w14:paraId="5ED6E9DC" w14:textId="22D7E7EE" w:rsidR="00232879" w:rsidRPr="00C40C30" w:rsidRDefault="00232879" w:rsidP="00232879">
      <w:pPr>
        <w:pStyle w:val="ListParagraph"/>
        <w:numPr>
          <w:ilvl w:val="0"/>
          <w:numId w:val="9"/>
        </w:numPr>
        <w:spacing w:line="360" w:lineRule="auto"/>
        <w:jc w:val="both"/>
        <w:rPr>
          <w:rFonts w:ascii="宋体" w:eastAsia="宋体" w:hAnsi="宋体" w:cs="Times New Roman"/>
          <w:b/>
          <w:bCs/>
        </w:rPr>
      </w:pPr>
      <w:r w:rsidRPr="00C40C30">
        <w:rPr>
          <w:rFonts w:ascii="Times New Roman" w:eastAsia="宋体" w:hAnsi="Times New Roman" w:cs="Times New Roman"/>
          <w:b/>
          <w:bCs/>
        </w:rPr>
        <w:t>DIGESTIVE CARE</w:t>
      </w:r>
      <w:r w:rsidRPr="00C40C30">
        <w:rPr>
          <w:rFonts w:ascii="宋体" w:eastAsia="宋体" w:hAnsi="宋体" w:cs="Times New Roman"/>
          <w:b/>
          <w:bCs/>
        </w:rPr>
        <w:t>的</w:t>
      </w:r>
      <w:r>
        <w:rPr>
          <w:rFonts w:ascii="宋体" w:eastAsia="宋体" w:hAnsi="宋体" w:cs="Times New Roman" w:hint="eastAsia"/>
          <w:b/>
          <w:bCs/>
        </w:rPr>
        <w:t>总多酚含量测定</w:t>
      </w:r>
    </w:p>
    <w:p w14:paraId="26C433EE" w14:textId="38E3DCC7" w:rsidR="00C40C30" w:rsidRPr="00965B75" w:rsidRDefault="00B378C7" w:rsidP="00E96E60">
      <w:pPr>
        <w:spacing w:line="360" w:lineRule="auto"/>
        <w:jc w:val="both"/>
        <w:rPr>
          <w:rFonts w:ascii="宋体" w:eastAsia="宋体" w:hAnsi="宋体"/>
        </w:rPr>
      </w:pPr>
      <w:r w:rsidRPr="002F46F2">
        <w:rPr>
          <w:rFonts w:ascii="Times New Roman" w:eastAsia="宋体" w:hAnsi="Times New Roman" w:cs="Times New Roman"/>
        </w:rPr>
        <w:t>将制备好的</w:t>
      </w:r>
      <w:r w:rsidRPr="002F46F2">
        <w:rPr>
          <w:rFonts w:ascii="Times New Roman" w:eastAsia="宋体" w:hAnsi="Times New Roman" w:cs="Times New Roman"/>
        </w:rPr>
        <w:t>DIGESTIVE CARE</w:t>
      </w:r>
      <w:r w:rsidRPr="002F46F2">
        <w:rPr>
          <w:rFonts w:ascii="Times New Roman" w:eastAsia="宋体" w:hAnsi="Times New Roman" w:cs="Times New Roman"/>
        </w:rPr>
        <w:t>样品稀释成</w:t>
      </w:r>
      <w:r w:rsidRPr="002F46F2">
        <w:rPr>
          <w:rFonts w:ascii="Times New Roman" w:eastAsia="宋体" w:hAnsi="Times New Roman" w:cs="Times New Roman"/>
        </w:rPr>
        <w:t>6</w:t>
      </w:r>
      <w:r w:rsidRPr="002F46F2">
        <w:rPr>
          <w:rFonts w:ascii="Times New Roman" w:eastAsia="宋体" w:hAnsi="Times New Roman" w:cs="Times New Roman"/>
        </w:rPr>
        <w:t>个浓度，与上述</w:t>
      </w:r>
      <w:r w:rsidRPr="00C56505">
        <w:rPr>
          <w:rFonts w:ascii="Times New Roman" w:eastAsia="宋体" w:hAnsi="Times New Roman" w:cs="Times New Roman"/>
        </w:rPr>
        <w:t>没食子酸</w:t>
      </w:r>
      <w:r w:rsidRPr="002F46F2">
        <w:rPr>
          <w:rFonts w:ascii="Times New Roman" w:eastAsia="宋体" w:hAnsi="Times New Roman" w:cs="Times New Roman"/>
        </w:rPr>
        <w:t>溶液进行相同操作，将最终溶液在</w:t>
      </w:r>
      <w:r>
        <w:rPr>
          <w:rFonts w:ascii="Times New Roman" w:eastAsia="宋体" w:hAnsi="Times New Roman" w:cs="Times New Roman" w:hint="eastAsia"/>
        </w:rPr>
        <w:t>76</w:t>
      </w:r>
      <w:r w:rsidRPr="002F46F2">
        <w:rPr>
          <w:rFonts w:ascii="Times New Roman" w:eastAsia="宋体" w:hAnsi="Times New Roman" w:cs="Times New Roman"/>
        </w:rPr>
        <w:t xml:space="preserve">0 nm </w:t>
      </w:r>
      <w:r w:rsidRPr="002F46F2">
        <w:rPr>
          <w:rFonts w:ascii="Times New Roman" w:eastAsia="宋体" w:hAnsi="Times New Roman" w:cs="Times New Roman"/>
        </w:rPr>
        <w:t>波长处的酶标仪中测吸光度，确保终浓度落在标准曲线线性范围</w:t>
      </w:r>
      <w:r w:rsidR="00965B75">
        <w:rPr>
          <w:rFonts w:ascii="Times New Roman" w:eastAsia="宋体" w:hAnsi="Times New Roman" w:cs="Times New Roman" w:hint="eastAsia"/>
        </w:rPr>
        <w:t>内。</w:t>
      </w:r>
    </w:p>
    <w:p w14:paraId="54AA60C1" w14:textId="2F24A54A" w:rsidR="00F03F32" w:rsidRDefault="00F03F32" w:rsidP="00F03F32">
      <w:pPr>
        <w:pStyle w:val="ListParagraph"/>
        <w:numPr>
          <w:ilvl w:val="0"/>
          <w:numId w:val="4"/>
        </w:numPr>
        <w:spacing w:line="360" w:lineRule="auto"/>
        <w:jc w:val="both"/>
        <w:rPr>
          <w:rFonts w:ascii="Times New Roman" w:eastAsia="宋体" w:hAnsi="Times New Roman" w:cs="Times New Roman"/>
          <w:b/>
          <w:bCs/>
        </w:rPr>
      </w:pPr>
      <w:r w:rsidRPr="00F03F32">
        <w:rPr>
          <w:rFonts w:ascii="Times New Roman" w:eastAsia="宋体" w:hAnsi="Times New Roman" w:cs="Times New Roman"/>
          <w:b/>
          <w:bCs/>
        </w:rPr>
        <w:t>DIGESTIVE CARE</w:t>
      </w:r>
      <w:r w:rsidRPr="00006BD0">
        <w:rPr>
          <w:rFonts w:ascii="Times New Roman" w:eastAsia="宋体" w:hAnsi="Times New Roman" w:cs="Times New Roman"/>
          <w:b/>
          <w:bCs/>
        </w:rPr>
        <w:t>的</w:t>
      </w:r>
      <w:r w:rsidR="00FA4653">
        <w:rPr>
          <w:rFonts w:ascii="Times New Roman" w:eastAsia="宋体" w:hAnsi="Times New Roman" w:cs="Times New Roman" w:hint="eastAsia"/>
          <w:b/>
          <w:bCs/>
        </w:rPr>
        <w:t>总黄酮</w:t>
      </w:r>
      <w:r w:rsidRPr="00006BD0">
        <w:rPr>
          <w:rFonts w:ascii="Times New Roman" w:eastAsia="宋体" w:hAnsi="Times New Roman" w:cs="Times New Roman"/>
          <w:b/>
          <w:bCs/>
        </w:rPr>
        <w:t>含量测定</w:t>
      </w:r>
    </w:p>
    <w:p w14:paraId="701B2F04" w14:textId="5894E86D" w:rsidR="008106EB" w:rsidRDefault="008106EB" w:rsidP="008106EB">
      <w:pPr>
        <w:pStyle w:val="ListParagraph"/>
        <w:numPr>
          <w:ilvl w:val="0"/>
          <w:numId w:val="10"/>
        </w:numPr>
        <w:spacing w:line="360" w:lineRule="auto"/>
        <w:jc w:val="both"/>
        <w:rPr>
          <w:rFonts w:ascii="Times New Roman" w:eastAsia="宋体" w:hAnsi="Times New Roman" w:cs="Times New Roman"/>
          <w:b/>
          <w:bCs/>
        </w:rPr>
      </w:pPr>
      <w:r w:rsidRPr="008106EB">
        <w:rPr>
          <w:rFonts w:ascii="Times New Roman" w:eastAsia="宋体" w:hAnsi="Times New Roman" w:cs="Times New Roman"/>
          <w:b/>
          <w:bCs/>
        </w:rPr>
        <w:t>DIGESTIVE CARE</w:t>
      </w:r>
      <w:r w:rsidRPr="008106EB">
        <w:rPr>
          <w:rFonts w:ascii="Times New Roman" w:eastAsia="宋体" w:hAnsi="Times New Roman" w:cs="Times New Roman"/>
          <w:b/>
          <w:bCs/>
        </w:rPr>
        <w:t>的样品制备</w:t>
      </w:r>
    </w:p>
    <w:p w14:paraId="5D0A4D56" w14:textId="592BDE29" w:rsidR="00007D45" w:rsidRDefault="00007D45" w:rsidP="00E96E60">
      <w:pPr>
        <w:spacing w:line="360" w:lineRule="auto"/>
        <w:jc w:val="both"/>
        <w:rPr>
          <w:rFonts w:ascii="Times New Roman" w:eastAsia="宋体" w:hAnsi="Times New Roman" w:cs="Times New Roman"/>
        </w:rPr>
      </w:pPr>
      <w:r w:rsidRPr="00007D45">
        <w:rPr>
          <w:rFonts w:ascii="Times New Roman" w:eastAsia="宋体" w:hAnsi="Times New Roman" w:cs="Times New Roman"/>
        </w:rPr>
        <w:t>精密称取</w:t>
      </w:r>
      <w:r w:rsidRPr="00007D45">
        <w:rPr>
          <w:rFonts w:ascii="Times New Roman" w:eastAsia="宋体" w:hAnsi="Times New Roman" w:cs="Times New Roman"/>
        </w:rPr>
        <w:t>DIGESTIVE CARE</w:t>
      </w:r>
      <w:r w:rsidRPr="00007D45">
        <w:rPr>
          <w:rFonts w:ascii="Times New Roman" w:eastAsia="宋体" w:hAnsi="Times New Roman" w:cs="Times New Roman"/>
        </w:rPr>
        <w:t>样品</w:t>
      </w:r>
      <w:r w:rsidRPr="00007D45">
        <w:rPr>
          <w:rFonts w:ascii="Times New Roman" w:eastAsia="宋体" w:hAnsi="Times New Roman" w:cs="Times New Roman"/>
        </w:rPr>
        <w:t>1.0 g</w:t>
      </w:r>
      <w:r w:rsidRPr="00007D45">
        <w:rPr>
          <w:rFonts w:ascii="Times New Roman" w:eastAsia="宋体" w:hAnsi="Times New Roman" w:cs="Times New Roman"/>
        </w:rPr>
        <w:t>，加入</w:t>
      </w:r>
      <w:r w:rsidRPr="00007D45">
        <w:rPr>
          <w:rFonts w:ascii="Times New Roman" w:eastAsia="宋体" w:hAnsi="Times New Roman" w:cs="Times New Roman"/>
        </w:rPr>
        <w:t>20 mL 70%</w:t>
      </w:r>
      <w:r w:rsidRPr="00007D45">
        <w:rPr>
          <w:rFonts w:ascii="Times New Roman" w:eastAsia="宋体" w:hAnsi="Times New Roman" w:cs="Times New Roman"/>
        </w:rPr>
        <w:t>甲醇，超声提取</w:t>
      </w:r>
      <w:r w:rsidRPr="00007D45">
        <w:rPr>
          <w:rFonts w:ascii="Times New Roman" w:eastAsia="宋体" w:hAnsi="Times New Roman" w:cs="Times New Roman"/>
        </w:rPr>
        <w:t>30</w:t>
      </w:r>
      <w:r w:rsidRPr="00007D45">
        <w:rPr>
          <w:rFonts w:ascii="Times New Roman" w:eastAsia="宋体" w:hAnsi="Times New Roman" w:cs="Times New Roman" w:hint="eastAsia"/>
        </w:rPr>
        <w:t xml:space="preserve"> </w:t>
      </w:r>
      <w:r w:rsidRPr="00007D45">
        <w:rPr>
          <w:rFonts w:ascii="Times New Roman" w:eastAsia="宋体" w:hAnsi="Times New Roman" w:cs="Times New Roman" w:hint="eastAsia"/>
        </w:rPr>
        <w:t>分钟，</w:t>
      </w:r>
      <w:r w:rsidRPr="00007D45">
        <w:rPr>
          <w:rFonts w:ascii="Times New Roman" w:eastAsia="宋体" w:hAnsi="Times New Roman" w:cs="Times New Roman"/>
        </w:rPr>
        <w:t>过滤，</w:t>
      </w:r>
      <w:proofErr w:type="gramStart"/>
      <w:r w:rsidRPr="00007D45">
        <w:rPr>
          <w:rFonts w:ascii="Times New Roman" w:eastAsia="宋体" w:hAnsi="Times New Roman" w:cs="Times New Roman"/>
        </w:rPr>
        <w:t>取续滤液</w:t>
      </w:r>
      <w:proofErr w:type="gramEnd"/>
      <w:r w:rsidRPr="00007D45">
        <w:rPr>
          <w:rFonts w:ascii="Times New Roman" w:eastAsia="宋体" w:hAnsi="Times New Roman" w:cs="Times New Roman"/>
        </w:rPr>
        <w:t>作为</w:t>
      </w:r>
      <w:proofErr w:type="gramStart"/>
      <w:r w:rsidRPr="00007D45">
        <w:rPr>
          <w:rFonts w:ascii="Times New Roman" w:eastAsia="宋体" w:hAnsi="Times New Roman" w:cs="Times New Roman"/>
        </w:rPr>
        <w:t>供试品溶液</w:t>
      </w:r>
      <w:proofErr w:type="gramEnd"/>
      <w:r w:rsidRPr="00007D45">
        <w:rPr>
          <w:rFonts w:ascii="Times New Roman" w:eastAsia="宋体" w:hAnsi="Times New Roman" w:cs="Times New Roman"/>
        </w:rPr>
        <w:t>。</w:t>
      </w:r>
    </w:p>
    <w:p w14:paraId="2BFD63F5" w14:textId="77777777" w:rsidR="00E96E60" w:rsidRPr="00007D45" w:rsidRDefault="00E96E60" w:rsidP="00E96E60">
      <w:pPr>
        <w:spacing w:line="360" w:lineRule="auto"/>
        <w:jc w:val="both"/>
        <w:rPr>
          <w:rFonts w:ascii="Times New Roman" w:eastAsia="宋体" w:hAnsi="Times New Roman" w:cs="Times New Roman"/>
          <w:b/>
          <w:bCs/>
        </w:rPr>
      </w:pPr>
    </w:p>
    <w:p w14:paraId="527EA4BE" w14:textId="6BE71EBF" w:rsidR="008106EB" w:rsidRDefault="008106EB" w:rsidP="008106EB">
      <w:pPr>
        <w:pStyle w:val="ListParagraph"/>
        <w:numPr>
          <w:ilvl w:val="0"/>
          <w:numId w:val="10"/>
        </w:numPr>
        <w:spacing w:line="360" w:lineRule="auto"/>
        <w:jc w:val="both"/>
        <w:rPr>
          <w:rFonts w:ascii="Times New Roman" w:eastAsia="宋体" w:hAnsi="Times New Roman" w:cs="Times New Roman"/>
          <w:b/>
          <w:bCs/>
        </w:rPr>
      </w:pPr>
      <w:r>
        <w:rPr>
          <w:rFonts w:ascii="Times New Roman" w:eastAsia="宋体" w:hAnsi="Times New Roman" w:cs="Times New Roman" w:hint="eastAsia"/>
          <w:b/>
          <w:bCs/>
        </w:rPr>
        <w:lastRenderedPageBreak/>
        <w:t>标准曲线的绘制</w:t>
      </w:r>
    </w:p>
    <w:p w14:paraId="0BDE7830" w14:textId="77777777" w:rsidR="00007D45" w:rsidRDefault="00007D45" w:rsidP="00E96E60">
      <w:pPr>
        <w:spacing w:line="360" w:lineRule="auto"/>
      </w:pPr>
      <w:r w:rsidRPr="00007D45">
        <w:rPr>
          <w:rFonts w:ascii="Times New Roman" w:eastAsia="宋体" w:hAnsi="Times New Roman" w:cs="Times New Roman"/>
        </w:rPr>
        <w:t>精密称取芦丁标准品</w:t>
      </w:r>
      <w:r w:rsidRPr="00007D45">
        <w:rPr>
          <w:rFonts w:ascii="Times New Roman" w:eastAsia="宋体" w:hAnsi="Times New Roman" w:cs="Times New Roman"/>
        </w:rPr>
        <w:t>50 mg</w:t>
      </w:r>
      <w:r w:rsidRPr="00007D45">
        <w:rPr>
          <w:rFonts w:ascii="Times New Roman" w:eastAsia="宋体" w:hAnsi="Times New Roman" w:cs="Times New Roman"/>
        </w:rPr>
        <w:t>，用</w:t>
      </w:r>
      <w:r w:rsidRPr="00007D45">
        <w:rPr>
          <w:rFonts w:ascii="Times New Roman" w:eastAsia="宋体" w:hAnsi="Times New Roman" w:cs="Times New Roman"/>
        </w:rPr>
        <w:t>70%</w:t>
      </w:r>
      <w:r w:rsidRPr="00007D45">
        <w:rPr>
          <w:rFonts w:ascii="Times New Roman" w:eastAsia="宋体" w:hAnsi="Times New Roman" w:cs="Times New Roman"/>
        </w:rPr>
        <w:t>乙醇溶解配置成</w:t>
      </w:r>
      <w:r w:rsidRPr="00007D45">
        <w:rPr>
          <w:rFonts w:ascii="Times New Roman" w:eastAsia="宋体" w:hAnsi="Times New Roman" w:cs="Times New Roman"/>
        </w:rPr>
        <w:t>0.01</w:t>
      </w:r>
      <w:r w:rsidRPr="00007D45">
        <w:rPr>
          <w:rFonts w:ascii="Times New Roman" w:eastAsia="宋体" w:hAnsi="Times New Roman" w:cs="Times New Roman"/>
        </w:rPr>
        <w:t>、</w:t>
      </w:r>
      <w:r w:rsidRPr="00007D45">
        <w:rPr>
          <w:rFonts w:ascii="Times New Roman" w:eastAsia="宋体" w:hAnsi="Times New Roman" w:cs="Times New Roman"/>
        </w:rPr>
        <w:t>0.02</w:t>
      </w:r>
      <w:r w:rsidRPr="00007D45">
        <w:rPr>
          <w:rFonts w:ascii="Times New Roman" w:eastAsia="宋体" w:hAnsi="Times New Roman" w:cs="Times New Roman"/>
        </w:rPr>
        <w:t>、</w:t>
      </w:r>
      <w:r w:rsidRPr="00007D45">
        <w:rPr>
          <w:rFonts w:ascii="Times New Roman" w:eastAsia="宋体" w:hAnsi="Times New Roman" w:cs="Times New Roman"/>
        </w:rPr>
        <w:t>0.05</w:t>
      </w:r>
      <w:r w:rsidRPr="00007D45">
        <w:rPr>
          <w:rFonts w:ascii="Times New Roman" w:eastAsia="宋体" w:hAnsi="Times New Roman" w:cs="Times New Roman"/>
        </w:rPr>
        <w:t>、</w:t>
      </w:r>
      <w:r w:rsidRPr="00007D45">
        <w:rPr>
          <w:rFonts w:ascii="Times New Roman" w:eastAsia="宋体" w:hAnsi="Times New Roman" w:cs="Times New Roman"/>
        </w:rPr>
        <w:t>0.1</w:t>
      </w:r>
      <w:r w:rsidRPr="00007D45">
        <w:rPr>
          <w:rFonts w:ascii="Times New Roman" w:eastAsia="宋体" w:hAnsi="Times New Roman" w:cs="Times New Roman"/>
        </w:rPr>
        <w:t>、</w:t>
      </w:r>
      <w:r w:rsidRPr="00007D45">
        <w:rPr>
          <w:rFonts w:ascii="Times New Roman" w:eastAsia="宋体" w:hAnsi="Times New Roman" w:cs="Times New Roman"/>
        </w:rPr>
        <w:t>0.2</w:t>
      </w:r>
      <w:r w:rsidRPr="00007D45">
        <w:rPr>
          <w:rFonts w:ascii="Times New Roman" w:eastAsia="宋体" w:hAnsi="Times New Roman" w:cs="Times New Roman"/>
        </w:rPr>
        <w:t>、</w:t>
      </w:r>
      <w:r w:rsidRPr="00007D45">
        <w:rPr>
          <w:rFonts w:ascii="Times New Roman" w:eastAsia="宋体" w:hAnsi="Times New Roman" w:cs="Times New Roman"/>
        </w:rPr>
        <w:t>0.5</w:t>
      </w:r>
      <w:r w:rsidRPr="00007D45">
        <w:rPr>
          <w:rFonts w:ascii="Times New Roman" w:eastAsia="宋体" w:hAnsi="Times New Roman" w:cs="Times New Roman"/>
        </w:rPr>
        <w:t>、</w:t>
      </w:r>
      <w:r w:rsidRPr="00007D45">
        <w:rPr>
          <w:rFonts w:ascii="Times New Roman" w:eastAsia="宋体" w:hAnsi="Times New Roman" w:cs="Times New Roman"/>
        </w:rPr>
        <w:t>1</w:t>
      </w:r>
      <w:r w:rsidRPr="00007D45">
        <w:rPr>
          <w:rFonts w:ascii="Times New Roman" w:eastAsia="宋体" w:hAnsi="Times New Roman" w:cs="Times New Roman"/>
        </w:rPr>
        <w:t>、</w:t>
      </w:r>
      <w:r w:rsidRPr="00007D45">
        <w:rPr>
          <w:rFonts w:ascii="Times New Roman" w:eastAsia="宋体" w:hAnsi="Times New Roman" w:cs="Times New Roman"/>
        </w:rPr>
        <w:t>2 mg/mL</w:t>
      </w:r>
      <w:r w:rsidRPr="00007D45">
        <w:rPr>
          <w:rFonts w:ascii="Times New Roman" w:eastAsia="宋体" w:hAnsi="Times New Roman" w:cs="Times New Roman"/>
        </w:rPr>
        <w:t>，依次加入</w:t>
      </w:r>
      <w:r w:rsidRPr="00007D45">
        <w:rPr>
          <w:rFonts w:ascii="Times New Roman" w:eastAsia="宋体" w:hAnsi="Times New Roman" w:cs="Times New Roman"/>
        </w:rPr>
        <w:t>5%</w:t>
      </w:r>
      <w:r w:rsidRPr="00007D45">
        <w:rPr>
          <w:rFonts w:ascii="Times New Roman" w:eastAsia="宋体" w:hAnsi="Times New Roman" w:cs="Times New Roman"/>
        </w:rPr>
        <w:t>亚硝酸钠溶液</w:t>
      </w:r>
      <w:r w:rsidRPr="00007D45">
        <w:rPr>
          <w:rFonts w:ascii="Times New Roman" w:eastAsia="宋体" w:hAnsi="Times New Roman" w:cs="Times New Roman" w:hint="eastAsia"/>
        </w:rPr>
        <w:t>、</w:t>
      </w:r>
      <w:r w:rsidRPr="00007D45">
        <w:rPr>
          <w:rFonts w:ascii="Times New Roman" w:eastAsia="宋体" w:hAnsi="Times New Roman" w:cs="Times New Roman"/>
        </w:rPr>
        <w:t>10%</w:t>
      </w:r>
      <w:r w:rsidRPr="00007D45">
        <w:rPr>
          <w:rFonts w:ascii="Times New Roman" w:eastAsia="宋体" w:hAnsi="Times New Roman" w:cs="Times New Roman"/>
        </w:rPr>
        <w:t>硝酸铝溶液</w:t>
      </w:r>
      <w:r w:rsidRPr="00007D45">
        <w:rPr>
          <w:rFonts w:ascii="Times New Roman" w:eastAsia="宋体" w:hAnsi="Times New Roman" w:cs="Times New Roman" w:hint="eastAsia"/>
        </w:rPr>
        <w:t>、</w:t>
      </w:r>
      <w:r w:rsidRPr="00007D45">
        <w:rPr>
          <w:rFonts w:ascii="Times New Roman" w:eastAsia="宋体" w:hAnsi="Times New Roman" w:cs="Times New Roman"/>
        </w:rPr>
        <w:t>4%</w:t>
      </w:r>
      <w:r w:rsidRPr="00007D45">
        <w:rPr>
          <w:rFonts w:ascii="Times New Roman" w:eastAsia="宋体" w:hAnsi="Times New Roman" w:cs="Times New Roman"/>
        </w:rPr>
        <w:t>氢氧化钠溶液</w:t>
      </w:r>
      <w:r w:rsidRPr="00007D45">
        <w:rPr>
          <w:rFonts w:ascii="Times New Roman" w:eastAsia="宋体" w:hAnsi="Times New Roman" w:cs="Times New Roman" w:hint="eastAsia"/>
        </w:rPr>
        <w:t>，混匀后于</w:t>
      </w:r>
      <w:r w:rsidRPr="00007D45">
        <w:rPr>
          <w:rFonts w:ascii="Times New Roman" w:eastAsia="宋体" w:hAnsi="Times New Roman" w:cs="Times New Roman"/>
        </w:rPr>
        <w:t>在</w:t>
      </w:r>
      <w:r w:rsidRPr="00007D45">
        <w:rPr>
          <w:rFonts w:ascii="Times New Roman" w:eastAsia="宋体" w:hAnsi="Times New Roman" w:cs="Times New Roman" w:hint="eastAsia"/>
        </w:rPr>
        <w:t>510</w:t>
      </w:r>
      <w:r w:rsidRPr="00007D45">
        <w:rPr>
          <w:rFonts w:ascii="Times New Roman" w:eastAsia="宋体" w:hAnsi="Times New Roman" w:cs="Times New Roman"/>
        </w:rPr>
        <w:t xml:space="preserve"> nm</w:t>
      </w:r>
      <w:r w:rsidRPr="00007D45">
        <w:rPr>
          <w:rFonts w:ascii="Times New Roman" w:eastAsia="宋体" w:hAnsi="Times New Roman" w:cs="Times New Roman"/>
        </w:rPr>
        <w:t>波长处的酶标仪中测吸光度，并制作标准曲线</w:t>
      </w:r>
      <w:r w:rsidRPr="00007D45">
        <w:rPr>
          <w:rFonts w:ascii="Times New Roman" w:eastAsia="宋体" w:hAnsi="Times New Roman" w:cs="Times New Roman" w:hint="eastAsia"/>
        </w:rPr>
        <w:t>。</w:t>
      </w:r>
    </w:p>
    <w:p w14:paraId="080E4249" w14:textId="4189893C" w:rsidR="008106EB" w:rsidRDefault="008106EB" w:rsidP="008106EB">
      <w:pPr>
        <w:pStyle w:val="ListParagraph"/>
        <w:numPr>
          <w:ilvl w:val="0"/>
          <w:numId w:val="10"/>
        </w:numPr>
        <w:spacing w:line="360" w:lineRule="auto"/>
        <w:jc w:val="both"/>
        <w:rPr>
          <w:rFonts w:ascii="Times New Roman" w:eastAsia="宋体" w:hAnsi="Times New Roman" w:cs="Times New Roman"/>
          <w:b/>
          <w:bCs/>
        </w:rPr>
      </w:pPr>
      <w:r>
        <w:rPr>
          <w:rFonts w:ascii="Times New Roman" w:eastAsia="宋体" w:hAnsi="Times New Roman" w:cs="Times New Roman" w:hint="eastAsia"/>
          <w:b/>
          <w:bCs/>
        </w:rPr>
        <w:t>D</w:t>
      </w:r>
      <w:r w:rsidRPr="00F03F32">
        <w:rPr>
          <w:rFonts w:ascii="Times New Roman" w:eastAsia="宋体" w:hAnsi="Times New Roman" w:cs="Times New Roman"/>
          <w:b/>
          <w:bCs/>
        </w:rPr>
        <w:t>IGESTIVE CARE</w:t>
      </w:r>
      <w:r w:rsidRPr="00006BD0">
        <w:rPr>
          <w:rFonts w:ascii="Times New Roman" w:eastAsia="宋体" w:hAnsi="Times New Roman" w:cs="Times New Roman"/>
          <w:b/>
          <w:bCs/>
        </w:rPr>
        <w:t>的</w:t>
      </w:r>
      <w:r>
        <w:rPr>
          <w:rFonts w:ascii="Times New Roman" w:eastAsia="宋体" w:hAnsi="Times New Roman" w:cs="Times New Roman" w:hint="eastAsia"/>
          <w:b/>
          <w:bCs/>
        </w:rPr>
        <w:t>总黄酮</w:t>
      </w:r>
      <w:r w:rsidRPr="00006BD0">
        <w:rPr>
          <w:rFonts w:ascii="Times New Roman" w:eastAsia="宋体" w:hAnsi="Times New Roman" w:cs="Times New Roman"/>
          <w:b/>
          <w:bCs/>
        </w:rPr>
        <w:t>含量测定</w:t>
      </w:r>
    </w:p>
    <w:p w14:paraId="2849F456" w14:textId="3358165C" w:rsidR="00E96E60" w:rsidRDefault="00007D45" w:rsidP="00E96E60">
      <w:pPr>
        <w:spacing w:line="360" w:lineRule="auto"/>
        <w:jc w:val="both"/>
        <w:rPr>
          <w:rFonts w:ascii="Times New Roman" w:eastAsia="宋体" w:hAnsi="Times New Roman" w:cs="Times New Roman"/>
        </w:rPr>
      </w:pPr>
      <w:r w:rsidRPr="00007D45">
        <w:rPr>
          <w:rFonts w:ascii="Times New Roman" w:eastAsia="宋体" w:hAnsi="Times New Roman" w:cs="Times New Roman"/>
        </w:rPr>
        <w:t>将制备好的</w:t>
      </w:r>
      <w:r w:rsidRPr="00007D45">
        <w:rPr>
          <w:rFonts w:ascii="Times New Roman" w:eastAsia="宋体" w:hAnsi="Times New Roman" w:cs="Times New Roman"/>
        </w:rPr>
        <w:t>DIGESTIVE CARE</w:t>
      </w:r>
      <w:r w:rsidRPr="00007D45">
        <w:rPr>
          <w:rFonts w:ascii="Times New Roman" w:eastAsia="宋体" w:hAnsi="Times New Roman" w:cs="Times New Roman"/>
        </w:rPr>
        <w:t>样品稀释成</w:t>
      </w:r>
      <w:r w:rsidRPr="00007D45">
        <w:rPr>
          <w:rFonts w:ascii="Times New Roman" w:eastAsia="宋体" w:hAnsi="Times New Roman" w:cs="Times New Roman"/>
        </w:rPr>
        <w:t>6</w:t>
      </w:r>
      <w:r w:rsidRPr="00007D45">
        <w:rPr>
          <w:rFonts w:ascii="Times New Roman" w:eastAsia="宋体" w:hAnsi="Times New Roman" w:cs="Times New Roman"/>
        </w:rPr>
        <w:t>个浓度，与上述芦丁溶液进行相同操作，将最终溶液在</w:t>
      </w:r>
      <w:r>
        <w:rPr>
          <w:rFonts w:ascii="Times New Roman" w:eastAsia="宋体" w:hAnsi="Times New Roman" w:cs="Times New Roman" w:hint="eastAsia"/>
        </w:rPr>
        <w:t xml:space="preserve">510 </w:t>
      </w:r>
      <w:r w:rsidRPr="00007D45">
        <w:rPr>
          <w:rFonts w:ascii="Times New Roman" w:eastAsia="宋体" w:hAnsi="Times New Roman" w:cs="Times New Roman"/>
        </w:rPr>
        <w:t xml:space="preserve">nm </w:t>
      </w:r>
      <w:r w:rsidRPr="00007D45">
        <w:rPr>
          <w:rFonts w:ascii="Times New Roman" w:eastAsia="宋体" w:hAnsi="Times New Roman" w:cs="Times New Roman"/>
        </w:rPr>
        <w:t>波长处的酶标仪中测吸光度，确保终浓度落在标准曲线线性范围</w:t>
      </w:r>
      <w:r w:rsidRPr="00007D45">
        <w:rPr>
          <w:rFonts w:ascii="Times New Roman" w:eastAsia="宋体" w:hAnsi="Times New Roman" w:cs="Times New Roman" w:hint="eastAsia"/>
        </w:rPr>
        <w:t>内。</w:t>
      </w:r>
    </w:p>
    <w:p w14:paraId="555EA741" w14:textId="77777777" w:rsidR="00E96E60" w:rsidRDefault="00E96E60">
      <w:pPr>
        <w:widowControl/>
        <w:rPr>
          <w:rFonts w:ascii="Times New Roman" w:eastAsia="宋体" w:hAnsi="Times New Roman" w:cs="Times New Roman"/>
        </w:rPr>
      </w:pPr>
      <w:r>
        <w:rPr>
          <w:rFonts w:ascii="Times New Roman" w:eastAsia="宋体" w:hAnsi="Times New Roman" w:cs="Times New Roman"/>
        </w:rPr>
        <w:br w:type="page"/>
      </w:r>
    </w:p>
    <w:p w14:paraId="55FE343E" w14:textId="02043174" w:rsidR="007021DA" w:rsidRPr="007021DA" w:rsidRDefault="007021DA" w:rsidP="00D1410C">
      <w:pPr>
        <w:pStyle w:val="ListParagraph"/>
        <w:numPr>
          <w:ilvl w:val="0"/>
          <w:numId w:val="1"/>
        </w:numPr>
        <w:spacing w:line="360" w:lineRule="auto"/>
        <w:jc w:val="both"/>
        <w:rPr>
          <w:rFonts w:ascii="Times New Roman" w:eastAsia="宋体" w:hAnsi="Times New Roman" w:cs="Times New Roman"/>
          <w:b/>
          <w:bCs/>
        </w:rPr>
      </w:pPr>
      <w:r>
        <w:rPr>
          <w:rFonts w:ascii="Times New Roman" w:eastAsia="宋体" w:hAnsi="Times New Roman" w:cs="Times New Roman" w:hint="eastAsia"/>
          <w:b/>
          <w:bCs/>
        </w:rPr>
        <w:lastRenderedPageBreak/>
        <w:t>实验结果</w:t>
      </w:r>
    </w:p>
    <w:p w14:paraId="19B83F7F" w14:textId="29B1F0AA" w:rsidR="00CE0468" w:rsidRPr="009B138C" w:rsidRDefault="00E7789C" w:rsidP="007021DA">
      <w:pPr>
        <w:pStyle w:val="ListParagraph"/>
        <w:numPr>
          <w:ilvl w:val="0"/>
          <w:numId w:val="11"/>
        </w:numPr>
        <w:spacing w:line="360" w:lineRule="auto"/>
        <w:jc w:val="both"/>
        <w:rPr>
          <w:rFonts w:ascii="Times New Roman" w:eastAsia="宋体" w:hAnsi="Times New Roman" w:cs="Times New Roman"/>
          <w:b/>
          <w:bCs/>
        </w:rPr>
      </w:pPr>
      <w:r w:rsidRPr="009B138C">
        <w:rPr>
          <w:rFonts w:ascii="Times New Roman" w:eastAsia="宋体" w:hAnsi="Times New Roman" w:cs="Times New Roman"/>
          <w:b/>
          <w:bCs/>
        </w:rPr>
        <w:t>DIGESTIVE CARE</w:t>
      </w:r>
      <w:r w:rsidR="006313CF" w:rsidRPr="009B138C">
        <w:rPr>
          <w:rFonts w:ascii="Times New Roman" w:eastAsia="宋体" w:hAnsi="Times New Roman" w:cs="Times New Roman"/>
          <w:b/>
          <w:bCs/>
        </w:rPr>
        <w:t>化学成分</w:t>
      </w:r>
      <w:r w:rsidR="002F19E4" w:rsidRPr="009B138C">
        <w:rPr>
          <w:rFonts w:ascii="Times New Roman" w:eastAsia="宋体" w:hAnsi="Times New Roman" w:cs="Times New Roman"/>
          <w:b/>
          <w:bCs/>
        </w:rPr>
        <w:t>鉴定结果</w:t>
      </w:r>
    </w:p>
    <w:p w14:paraId="40B75D96" w14:textId="2A6A7E34" w:rsidR="00AF6FCB" w:rsidRPr="00082425" w:rsidRDefault="00070B8C" w:rsidP="00CE0468">
      <w:pPr>
        <w:pStyle w:val="ListParagraph"/>
        <w:spacing w:line="360" w:lineRule="auto"/>
        <w:ind w:left="0"/>
        <w:jc w:val="both"/>
        <w:rPr>
          <w:rFonts w:ascii="Times New Roman" w:eastAsia="宋体" w:hAnsi="Times New Roman" w:cs="Times New Roman"/>
          <w:b/>
          <w:bCs/>
        </w:rPr>
      </w:pPr>
      <w:r w:rsidRPr="00082425">
        <w:rPr>
          <w:noProof/>
        </w:rPr>
        <w:drawing>
          <wp:anchor distT="0" distB="0" distL="114300" distR="114300" simplePos="0" relativeHeight="251658240" behindDoc="0" locked="0" layoutInCell="1" allowOverlap="1" wp14:anchorId="17865F8A" wp14:editId="705AED13">
            <wp:simplePos x="0" y="0"/>
            <wp:positionH relativeFrom="margin">
              <wp:posOffset>59299</wp:posOffset>
            </wp:positionH>
            <wp:positionV relativeFrom="paragraph">
              <wp:posOffset>1023034</wp:posOffset>
            </wp:positionV>
            <wp:extent cx="5437505" cy="6737985"/>
            <wp:effectExtent l="0" t="0" r="0" b="5715"/>
            <wp:wrapTopAndBottom/>
            <wp:docPr id="709070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7505" cy="6737985"/>
                    </a:xfrm>
                    <a:prstGeom prst="rect">
                      <a:avLst/>
                    </a:prstGeom>
                    <a:noFill/>
                  </pic:spPr>
                </pic:pic>
              </a:graphicData>
            </a:graphic>
            <wp14:sizeRelH relativeFrom="margin">
              <wp14:pctWidth>0</wp14:pctWidth>
            </wp14:sizeRelH>
            <wp14:sizeRelV relativeFrom="margin">
              <wp14:pctHeight>0</wp14:pctHeight>
            </wp14:sizeRelV>
          </wp:anchor>
        </w:drawing>
      </w:r>
      <w:r w:rsidR="00125D6F" w:rsidRPr="00082425">
        <w:rPr>
          <w:rFonts w:ascii="Times New Roman" w:eastAsia="宋体" w:hAnsi="Times New Roman" w:cs="Times New Roman"/>
        </w:rPr>
        <w:t>LC-MS</w:t>
      </w:r>
      <w:r w:rsidR="00125D6F" w:rsidRPr="00082425">
        <w:rPr>
          <w:rFonts w:ascii="Times New Roman" w:eastAsia="宋体" w:hAnsi="Times New Roman" w:cs="Times New Roman"/>
        </w:rPr>
        <w:t>数据通过</w:t>
      </w:r>
      <w:r w:rsidR="00125D6F" w:rsidRPr="00082425">
        <w:rPr>
          <w:rFonts w:ascii="Times New Roman" w:eastAsia="宋体" w:hAnsi="Times New Roman" w:cs="Times New Roman"/>
        </w:rPr>
        <w:t>MSDIAL</w:t>
      </w:r>
      <w:r w:rsidR="006739A7" w:rsidRPr="00082425">
        <w:rPr>
          <w:rFonts w:ascii="Times New Roman" w:eastAsia="宋体" w:hAnsi="Times New Roman" w:cs="Times New Roman"/>
        </w:rPr>
        <w:t>软件处理，提取二级离子碎片，</w:t>
      </w:r>
      <w:r w:rsidR="00125D6F" w:rsidRPr="00082425">
        <w:rPr>
          <w:rFonts w:ascii="Times New Roman" w:eastAsia="宋体" w:hAnsi="Times New Roman" w:cs="Times New Roman"/>
        </w:rPr>
        <w:t>检索</w:t>
      </w:r>
      <w:r w:rsidR="00125D6F" w:rsidRPr="00082425">
        <w:rPr>
          <w:rFonts w:ascii="Times New Roman" w:eastAsia="宋体" w:hAnsi="Times New Roman" w:cs="Times New Roman"/>
        </w:rPr>
        <w:t>Mass Bank, GNPS</w:t>
      </w:r>
      <w:r w:rsidR="00125D6F" w:rsidRPr="00082425">
        <w:rPr>
          <w:rFonts w:ascii="Times New Roman" w:eastAsia="宋体" w:hAnsi="Times New Roman" w:cs="Times New Roman"/>
        </w:rPr>
        <w:t>等</w:t>
      </w:r>
      <w:r w:rsidR="006739A7" w:rsidRPr="00082425">
        <w:rPr>
          <w:rFonts w:ascii="Times New Roman" w:eastAsia="宋体" w:hAnsi="Times New Roman" w:cs="Times New Roman"/>
        </w:rPr>
        <w:t>天然产物</w:t>
      </w:r>
      <w:r w:rsidR="00125D6F" w:rsidRPr="00082425">
        <w:rPr>
          <w:rFonts w:ascii="Times New Roman" w:eastAsia="宋体" w:hAnsi="Times New Roman" w:cs="Times New Roman"/>
        </w:rPr>
        <w:t>数据库，</w:t>
      </w:r>
      <w:r w:rsidR="006739A7" w:rsidRPr="00082425">
        <w:rPr>
          <w:rFonts w:ascii="Times New Roman" w:eastAsia="宋体" w:hAnsi="Times New Roman" w:cs="Times New Roman"/>
        </w:rPr>
        <w:t>通过比对</w:t>
      </w:r>
      <w:proofErr w:type="gramStart"/>
      <w:r w:rsidR="00125D6F" w:rsidRPr="00082425">
        <w:rPr>
          <w:rFonts w:ascii="Times New Roman" w:eastAsia="宋体" w:hAnsi="Times New Roman" w:cs="Times New Roman"/>
        </w:rPr>
        <w:t>分析</w:t>
      </w:r>
      <w:r w:rsidR="006739A7" w:rsidRPr="00082425">
        <w:rPr>
          <w:rFonts w:ascii="Times New Roman" w:eastAsia="宋体" w:hAnsi="Times New Roman" w:cs="Times New Roman"/>
        </w:rPr>
        <w:t>共</w:t>
      </w:r>
      <w:proofErr w:type="gramEnd"/>
      <w:r w:rsidR="006739A7" w:rsidRPr="00082425">
        <w:rPr>
          <w:rFonts w:ascii="Times New Roman" w:eastAsia="宋体" w:hAnsi="Times New Roman" w:cs="Times New Roman"/>
        </w:rPr>
        <w:t>鉴定</w:t>
      </w:r>
      <w:r w:rsidR="00E7789C" w:rsidRPr="00082425">
        <w:rPr>
          <w:rFonts w:ascii="Times New Roman" w:eastAsia="宋体" w:hAnsi="Times New Roman" w:cs="Times New Roman"/>
        </w:rPr>
        <w:t>DIGESTIVE CARE</w:t>
      </w:r>
      <w:r w:rsidR="006739A7" w:rsidRPr="00082425">
        <w:rPr>
          <w:rFonts w:ascii="Times New Roman" w:eastAsia="宋体" w:hAnsi="Times New Roman" w:cs="Times New Roman"/>
        </w:rPr>
        <w:t>主要化学成分</w:t>
      </w:r>
      <w:r w:rsidR="00FC5481" w:rsidRPr="00082425">
        <w:rPr>
          <w:rFonts w:ascii="Times New Roman" w:eastAsia="宋体" w:hAnsi="Times New Roman" w:cs="Times New Roman"/>
        </w:rPr>
        <w:t>11</w:t>
      </w:r>
      <w:r w:rsidR="00FC5481" w:rsidRPr="00082425">
        <w:rPr>
          <w:rFonts w:ascii="Times New Roman" w:eastAsia="宋体" w:hAnsi="Times New Roman" w:cs="Times New Roman"/>
        </w:rPr>
        <w:t>个，</w:t>
      </w:r>
      <w:r w:rsidR="00265C0E" w:rsidRPr="00082425">
        <w:rPr>
          <w:rFonts w:ascii="Times New Roman" w:eastAsia="宋体" w:hAnsi="Times New Roman" w:cs="Times New Roman"/>
        </w:rPr>
        <w:t>这些</w:t>
      </w:r>
      <w:r w:rsidR="00FC5481" w:rsidRPr="00082425">
        <w:rPr>
          <w:rFonts w:ascii="Times New Roman" w:eastAsia="宋体" w:hAnsi="Times New Roman" w:cs="Times New Roman"/>
        </w:rPr>
        <w:t>化合物</w:t>
      </w:r>
      <w:r w:rsidR="00265C0E" w:rsidRPr="00082425">
        <w:rPr>
          <w:rFonts w:ascii="Times New Roman" w:eastAsia="宋体" w:hAnsi="Times New Roman" w:cs="Times New Roman"/>
        </w:rPr>
        <w:t>的</w:t>
      </w:r>
      <w:r w:rsidR="00FC5481" w:rsidRPr="00082425">
        <w:rPr>
          <w:rFonts w:ascii="Times New Roman" w:eastAsia="宋体" w:hAnsi="Times New Roman" w:cs="Times New Roman"/>
        </w:rPr>
        <w:t>HPLC</w:t>
      </w:r>
      <w:r w:rsidR="00FC5481" w:rsidRPr="00082425">
        <w:rPr>
          <w:rFonts w:ascii="Times New Roman" w:eastAsia="宋体" w:hAnsi="Times New Roman" w:cs="Times New Roman"/>
        </w:rPr>
        <w:t>指纹图谱</w:t>
      </w:r>
      <w:r w:rsidR="00270674" w:rsidRPr="00082425">
        <w:rPr>
          <w:rFonts w:ascii="Times New Roman" w:eastAsia="宋体" w:hAnsi="Times New Roman" w:cs="Times New Roman"/>
        </w:rPr>
        <w:t>如图</w:t>
      </w:r>
      <w:r w:rsidR="008633AB" w:rsidRPr="00082425">
        <w:rPr>
          <w:rFonts w:ascii="Times New Roman" w:eastAsia="宋体" w:hAnsi="Times New Roman" w:cs="Times New Roman"/>
        </w:rPr>
        <w:t>1</w:t>
      </w:r>
      <w:r w:rsidR="00270674" w:rsidRPr="00082425">
        <w:rPr>
          <w:rFonts w:ascii="Times New Roman" w:eastAsia="宋体" w:hAnsi="Times New Roman" w:cs="Times New Roman"/>
        </w:rPr>
        <w:t>所示</w:t>
      </w:r>
      <w:r w:rsidR="00B21E7C" w:rsidRPr="00082425">
        <w:rPr>
          <w:rFonts w:ascii="Times New Roman" w:eastAsia="宋体" w:hAnsi="Times New Roman" w:cs="Times New Roman"/>
        </w:rPr>
        <w:t>。</w:t>
      </w:r>
      <w:r w:rsidR="00BD3C68" w:rsidRPr="00082425">
        <w:rPr>
          <w:rFonts w:ascii="Times New Roman" w:eastAsia="宋体" w:hAnsi="Times New Roman" w:cs="Times New Roman"/>
        </w:rPr>
        <w:t>其鉴定结果如表</w:t>
      </w:r>
      <w:r w:rsidR="00BD3C68" w:rsidRPr="00082425">
        <w:rPr>
          <w:rFonts w:ascii="Times New Roman" w:eastAsia="宋体" w:hAnsi="Times New Roman" w:cs="Times New Roman"/>
        </w:rPr>
        <w:t>1</w:t>
      </w:r>
      <w:r w:rsidR="00BD3C68" w:rsidRPr="00082425">
        <w:rPr>
          <w:rFonts w:ascii="Times New Roman" w:eastAsia="宋体" w:hAnsi="Times New Roman" w:cs="Times New Roman"/>
        </w:rPr>
        <w:t>所示。</w:t>
      </w:r>
    </w:p>
    <w:p w14:paraId="11869C6D" w14:textId="77777777" w:rsidR="002F19E4" w:rsidRPr="00082425" w:rsidRDefault="00265C0E" w:rsidP="000A315B">
      <w:pPr>
        <w:jc w:val="center"/>
        <w:rPr>
          <w:rFonts w:ascii="Times New Roman" w:eastAsia="宋体" w:hAnsi="Times New Roman" w:cs="Times New Roman"/>
        </w:rPr>
      </w:pPr>
      <w:r w:rsidRPr="00082425">
        <w:rPr>
          <w:rFonts w:ascii="Times New Roman" w:eastAsia="宋体" w:hAnsi="Times New Roman" w:cs="Times New Roman"/>
          <w:b/>
          <w:bCs/>
        </w:rPr>
        <w:t>图</w:t>
      </w:r>
      <w:r w:rsidRPr="00082425">
        <w:rPr>
          <w:rFonts w:ascii="Times New Roman" w:eastAsia="宋体" w:hAnsi="Times New Roman" w:cs="Times New Roman"/>
          <w:b/>
          <w:bCs/>
        </w:rPr>
        <w:t>1</w:t>
      </w:r>
      <w:r w:rsidRPr="00082425">
        <w:rPr>
          <w:rFonts w:ascii="Times New Roman" w:eastAsia="宋体" w:hAnsi="Times New Roman" w:cs="Times New Roman"/>
        </w:rPr>
        <w:t xml:space="preserve"> </w:t>
      </w:r>
      <w:r w:rsidR="00EC4997" w:rsidRPr="00082425">
        <w:rPr>
          <w:rFonts w:ascii="Times New Roman" w:eastAsia="宋体" w:hAnsi="Times New Roman" w:cs="Times New Roman"/>
        </w:rPr>
        <w:t>10</w:t>
      </w:r>
      <w:r w:rsidRPr="00082425">
        <w:rPr>
          <w:rFonts w:ascii="Times New Roman" w:eastAsia="宋体" w:hAnsi="Times New Roman" w:cs="Times New Roman"/>
        </w:rPr>
        <w:t>批</w:t>
      </w:r>
      <w:r w:rsidR="00E7789C" w:rsidRPr="00082425">
        <w:rPr>
          <w:rFonts w:ascii="Times New Roman" w:eastAsia="宋体" w:hAnsi="Times New Roman" w:cs="Times New Roman"/>
        </w:rPr>
        <w:t>DIGESTIVE CARE</w:t>
      </w:r>
      <w:r w:rsidR="007F7180" w:rsidRPr="00082425">
        <w:rPr>
          <w:rFonts w:ascii="Times New Roman" w:eastAsia="宋体" w:hAnsi="Times New Roman" w:cs="Times New Roman"/>
        </w:rPr>
        <w:t>样品</w:t>
      </w:r>
      <w:r w:rsidR="00A54DFE" w:rsidRPr="00082425">
        <w:rPr>
          <w:rFonts w:ascii="Times New Roman" w:eastAsia="宋体" w:hAnsi="Times New Roman" w:cs="Times New Roman"/>
        </w:rPr>
        <w:t>主要化学成分</w:t>
      </w:r>
      <w:r w:rsidRPr="00082425">
        <w:rPr>
          <w:rFonts w:ascii="Times New Roman" w:eastAsia="宋体" w:hAnsi="Times New Roman" w:cs="Times New Roman"/>
        </w:rPr>
        <w:t>的</w:t>
      </w:r>
      <w:r w:rsidRPr="00082425">
        <w:rPr>
          <w:rFonts w:ascii="Times New Roman" w:eastAsia="宋体" w:hAnsi="Times New Roman" w:cs="Times New Roman"/>
        </w:rPr>
        <w:t>HPLC</w:t>
      </w:r>
      <w:r w:rsidRPr="00082425">
        <w:rPr>
          <w:rFonts w:ascii="Times New Roman" w:eastAsia="宋体" w:hAnsi="Times New Roman" w:cs="Times New Roman"/>
        </w:rPr>
        <w:t>指纹图谱</w:t>
      </w:r>
    </w:p>
    <w:p w14:paraId="472F73FD" w14:textId="1992F11A" w:rsidR="00997DF0" w:rsidRPr="00082425" w:rsidRDefault="00997DF0" w:rsidP="00997DF0">
      <w:pPr>
        <w:widowControl/>
        <w:jc w:val="both"/>
        <w:rPr>
          <w:rFonts w:ascii="Times New Roman" w:eastAsia="宋体" w:hAnsi="Times New Roman" w:cs="Times New Roman"/>
        </w:rPr>
      </w:pPr>
      <w:r w:rsidRPr="00082425">
        <w:rPr>
          <w:rFonts w:ascii="Times New Roman" w:hAnsi="Times New Roman" w:cs="Times New Roman"/>
          <w:noProof/>
        </w:rPr>
        <w:lastRenderedPageBreak/>
        <w:drawing>
          <wp:anchor distT="0" distB="0" distL="114300" distR="114300" simplePos="0" relativeHeight="251659264" behindDoc="0" locked="0" layoutInCell="1" allowOverlap="1" wp14:anchorId="7243BD6C" wp14:editId="37B17255">
            <wp:simplePos x="0" y="0"/>
            <wp:positionH relativeFrom="margin">
              <wp:align>left</wp:align>
            </wp:positionH>
            <wp:positionV relativeFrom="paragraph">
              <wp:posOffset>973243</wp:posOffset>
            </wp:positionV>
            <wp:extent cx="5274310" cy="3139440"/>
            <wp:effectExtent l="0" t="0" r="2540" b="3810"/>
            <wp:wrapTopAndBottom/>
            <wp:docPr id="86238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8688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139440"/>
                    </a:xfrm>
                    <a:prstGeom prst="rect">
                      <a:avLst/>
                    </a:prstGeom>
                  </pic:spPr>
                </pic:pic>
              </a:graphicData>
            </a:graphic>
          </wp:anchor>
        </w:drawing>
      </w:r>
      <w:r w:rsidRPr="00082425">
        <w:rPr>
          <w:rFonts w:ascii="Times New Roman" w:eastAsia="宋体" w:hAnsi="Times New Roman" w:cs="Times New Roman"/>
        </w:rPr>
        <w:t>在已经鉴定的</w:t>
      </w:r>
      <w:r w:rsidRPr="00082425">
        <w:rPr>
          <w:rFonts w:ascii="Times New Roman" w:eastAsia="宋体" w:hAnsi="Times New Roman" w:cs="Times New Roman"/>
        </w:rPr>
        <w:t>11</w:t>
      </w:r>
      <w:r w:rsidRPr="00082425">
        <w:rPr>
          <w:rFonts w:ascii="Times New Roman" w:eastAsia="宋体" w:hAnsi="Times New Roman" w:cs="Times New Roman"/>
        </w:rPr>
        <w:t>个化学成分中，其中有</w:t>
      </w:r>
      <w:r w:rsidRPr="00082425">
        <w:rPr>
          <w:rFonts w:ascii="Times New Roman" w:eastAsia="宋体" w:hAnsi="Times New Roman" w:cs="Times New Roman"/>
        </w:rPr>
        <w:t>7</w:t>
      </w:r>
      <w:r w:rsidRPr="00082425">
        <w:rPr>
          <w:rFonts w:ascii="Times New Roman" w:eastAsia="宋体" w:hAnsi="Times New Roman" w:cs="Times New Roman"/>
        </w:rPr>
        <w:t>个是可以购买到标准品。因此，这个</w:t>
      </w:r>
      <w:r w:rsidRPr="00082425">
        <w:rPr>
          <w:rFonts w:ascii="Times New Roman" w:eastAsia="宋体" w:hAnsi="Times New Roman" w:cs="Times New Roman"/>
        </w:rPr>
        <w:t>7</w:t>
      </w:r>
      <w:r w:rsidRPr="00082425">
        <w:rPr>
          <w:rFonts w:ascii="Times New Roman" w:eastAsia="宋体" w:hAnsi="Times New Roman" w:cs="Times New Roman"/>
        </w:rPr>
        <w:t>个标准品被稀释成了</w:t>
      </w:r>
      <w:r w:rsidRPr="00082425">
        <w:rPr>
          <w:rFonts w:ascii="Times New Roman" w:eastAsia="宋体" w:hAnsi="Times New Roman" w:cs="Times New Roman"/>
        </w:rPr>
        <w:t>12</w:t>
      </w:r>
      <w:r w:rsidRPr="00082425">
        <w:rPr>
          <w:rFonts w:ascii="Times New Roman" w:eastAsia="宋体" w:hAnsi="Times New Roman" w:cs="Times New Roman"/>
        </w:rPr>
        <w:t>个不同浓度：</w:t>
      </w:r>
      <w:r w:rsidRPr="00082425">
        <w:rPr>
          <w:rFonts w:ascii="Times New Roman" w:eastAsia="宋体" w:hAnsi="Times New Roman" w:cs="Times New Roman"/>
        </w:rPr>
        <w:t xml:space="preserve"> 0.5, 1, 2, 5, 10, 20, 50, 100, 200, 1000, 2000, 5000 ppb</w:t>
      </w:r>
      <w:r w:rsidRPr="00082425">
        <w:rPr>
          <w:rFonts w:ascii="Times New Roman" w:eastAsia="宋体" w:hAnsi="Times New Roman" w:cs="Times New Roman"/>
        </w:rPr>
        <w:t>，绘制标准曲线（图</w:t>
      </w:r>
      <w:r w:rsidRPr="00082425">
        <w:rPr>
          <w:rFonts w:ascii="Times New Roman" w:eastAsia="宋体" w:hAnsi="Times New Roman" w:cs="Times New Roman"/>
        </w:rPr>
        <w:t>2-</w:t>
      </w:r>
      <w:r w:rsidR="00A210E4" w:rsidRPr="00082425">
        <w:rPr>
          <w:rFonts w:ascii="Times New Roman" w:eastAsia="宋体" w:hAnsi="Times New Roman" w:cs="Times New Roman"/>
        </w:rPr>
        <w:t>8</w:t>
      </w:r>
      <w:r w:rsidRPr="00082425">
        <w:rPr>
          <w:rFonts w:ascii="Times New Roman" w:eastAsia="宋体" w:hAnsi="Times New Roman" w:cs="Times New Roman"/>
        </w:rPr>
        <w:t>），得到相应的回归方程。根据回归方程，最终计算得到</w:t>
      </w:r>
      <w:r w:rsidRPr="00082425">
        <w:rPr>
          <w:rFonts w:ascii="Times New Roman" w:eastAsia="宋体" w:hAnsi="Times New Roman" w:cs="Times New Roman"/>
        </w:rPr>
        <w:t>7</w:t>
      </w:r>
      <w:r w:rsidRPr="00082425">
        <w:rPr>
          <w:rFonts w:ascii="Times New Roman" w:eastAsia="宋体" w:hAnsi="Times New Roman" w:cs="Times New Roman"/>
        </w:rPr>
        <w:t>个化学成分在</w:t>
      </w:r>
      <w:r w:rsidRPr="00082425">
        <w:rPr>
          <w:rFonts w:ascii="Times New Roman" w:eastAsia="宋体" w:hAnsi="Times New Roman" w:cs="Times New Roman"/>
        </w:rPr>
        <w:t>DIGESTIVE CARE</w:t>
      </w:r>
      <w:r w:rsidRPr="00082425">
        <w:rPr>
          <w:rFonts w:ascii="Times New Roman" w:eastAsia="宋体" w:hAnsi="Times New Roman" w:cs="Times New Roman"/>
        </w:rPr>
        <w:t>样品中的含量（表</w:t>
      </w:r>
      <w:r w:rsidRPr="00082425">
        <w:rPr>
          <w:rFonts w:ascii="Times New Roman" w:eastAsia="宋体" w:hAnsi="Times New Roman" w:cs="Times New Roman"/>
        </w:rPr>
        <w:t>2</w:t>
      </w:r>
      <w:r w:rsidRPr="00082425">
        <w:rPr>
          <w:rFonts w:ascii="Times New Roman" w:eastAsia="宋体" w:hAnsi="Times New Roman" w:cs="Times New Roman"/>
        </w:rPr>
        <w:t>）。</w:t>
      </w:r>
    </w:p>
    <w:p w14:paraId="5EF16465" w14:textId="294E324C" w:rsidR="00997DF0" w:rsidRPr="00082425" w:rsidRDefault="00997DF0" w:rsidP="00997DF0">
      <w:pPr>
        <w:spacing w:beforeLines="50" w:before="156" w:afterLines="50" w:after="156" w:line="360" w:lineRule="auto"/>
        <w:jc w:val="center"/>
        <w:rPr>
          <w:rFonts w:ascii="Times New Roman" w:eastAsia="宋体" w:hAnsi="Times New Roman" w:cs="Times New Roman"/>
          <w:sz w:val="24"/>
          <w:szCs w:val="32"/>
        </w:rPr>
      </w:pPr>
      <w:r w:rsidRPr="00082425">
        <w:rPr>
          <w:rFonts w:ascii="Times New Roman" w:eastAsia="宋体" w:hAnsi="Times New Roman" w:cs="Times New Roman"/>
          <w:b/>
          <w:bCs/>
          <w:sz w:val="24"/>
          <w:szCs w:val="32"/>
        </w:rPr>
        <w:t>图</w:t>
      </w:r>
      <w:r w:rsidRPr="00082425">
        <w:rPr>
          <w:rFonts w:ascii="Times New Roman" w:eastAsia="宋体" w:hAnsi="Times New Roman" w:cs="Times New Roman"/>
          <w:b/>
          <w:bCs/>
          <w:sz w:val="24"/>
          <w:szCs w:val="32"/>
        </w:rPr>
        <w:t>2</w:t>
      </w:r>
      <w:r w:rsidRPr="00082425">
        <w:rPr>
          <w:rFonts w:ascii="Times New Roman" w:eastAsia="宋体" w:hAnsi="Times New Roman" w:cs="Times New Roman"/>
          <w:sz w:val="24"/>
          <w:szCs w:val="32"/>
        </w:rPr>
        <w:t xml:space="preserve"> </w:t>
      </w:r>
      <w:r w:rsidRPr="00082425">
        <w:rPr>
          <w:rFonts w:ascii="Times New Roman" w:eastAsia="宋体" w:hAnsi="Times New Roman" w:cs="Times New Roman"/>
          <w:sz w:val="24"/>
          <w:szCs w:val="32"/>
        </w:rPr>
        <w:t>甘草</w:t>
      </w:r>
      <w:proofErr w:type="gramStart"/>
      <w:r w:rsidRPr="00082425">
        <w:rPr>
          <w:rFonts w:ascii="Times New Roman" w:eastAsia="宋体" w:hAnsi="Times New Roman" w:cs="Times New Roman"/>
          <w:sz w:val="24"/>
          <w:szCs w:val="32"/>
        </w:rPr>
        <w:t>苷</w:t>
      </w:r>
      <w:proofErr w:type="gramEnd"/>
      <w:r w:rsidRPr="00082425">
        <w:rPr>
          <w:rFonts w:ascii="Times New Roman" w:eastAsia="宋体" w:hAnsi="Times New Roman" w:cs="Times New Roman"/>
          <w:sz w:val="24"/>
          <w:szCs w:val="32"/>
        </w:rPr>
        <w:t>标准曲线</w:t>
      </w:r>
    </w:p>
    <w:p w14:paraId="6BAAF170" w14:textId="000F33A9" w:rsidR="00997DF0" w:rsidRPr="00082425" w:rsidRDefault="00BD3C68">
      <w:pPr>
        <w:widowControl/>
        <w:rPr>
          <w:rFonts w:ascii="Times New Roman" w:eastAsia="宋体" w:hAnsi="Times New Roman" w:cs="Times New Roman"/>
        </w:rPr>
      </w:pPr>
      <w:r w:rsidRPr="00082425">
        <w:rPr>
          <w:rFonts w:ascii="Times New Roman" w:hAnsi="Times New Roman" w:cs="Times New Roman"/>
          <w:noProof/>
        </w:rPr>
        <w:drawing>
          <wp:inline distT="0" distB="0" distL="0" distR="0" wp14:anchorId="623D9510" wp14:editId="0AAEB737">
            <wp:extent cx="5274310" cy="3072765"/>
            <wp:effectExtent l="0" t="0" r="2540" b="0"/>
            <wp:docPr id="643395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95408" name=""/>
                    <pic:cNvPicPr/>
                  </pic:nvPicPr>
                  <pic:blipFill>
                    <a:blip r:embed="rId10"/>
                    <a:stretch>
                      <a:fillRect/>
                    </a:stretch>
                  </pic:blipFill>
                  <pic:spPr>
                    <a:xfrm>
                      <a:off x="0" y="0"/>
                      <a:ext cx="5274310" cy="3072765"/>
                    </a:xfrm>
                    <a:prstGeom prst="rect">
                      <a:avLst/>
                    </a:prstGeom>
                  </pic:spPr>
                </pic:pic>
              </a:graphicData>
            </a:graphic>
          </wp:inline>
        </w:drawing>
      </w:r>
    </w:p>
    <w:p w14:paraId="1FE1F707" w14:textId="55DF7A51" w:rsidR="00BD3C68" w:rsidRPr="00082425" w:rsidRDefault="00BD3C68" w:rsidP="00BD3C68">
      <w:pPr>
        <w:spacing w:beforeLines="50" w:before="156" w:afterLines="50" w:after="156" w:line="360" w:lineRule="auto"/>
        <w:jc w:val="center"/>
        <w:rPr>
          <w:rFonts w:ascii="Times New Roman" w:eastAsia="宋体" w:hAnsi="Times New Roman" w:cs="Times New Roman"/>
          <w:sz w:val="24"/>
          <w:szCs w:val="32"/>
        </w:rPr>
      </w:pPr>
      <w:r w:rsidRPr="00082425">
        <w:rPr>
          <w:rFonts w:ascii="Times New Roman" w:eastAsia="宋体" w:hAnsi="Times New Roman" w:cs="Times New Roman"/>
          <w:b/>
          <w:bCs/>
          <w:sz w:val="24"/>
          <w:szCs w:val="32"/>
        </w:rPr>
        <w:t>图</w:t>
      </w:r>
      <w:r w:rsidR="00B13003" w:rsidRPr="00082425">
        <w:rPr>
          <w:rFonts w:ascii="Times New Roman" w:eastAsia="宋体" w:hAnsi="Times New Roman" w:cs="Times New Roman"/>
          <w:b/>
          <w:bCs/>
          <w:sz w:val="24"/>
          <w:szCs w:val="32"/>
        </w:rPr>
        <w:t>3</w:t>
      </w:r>
      <w:r w:rsidRPr="00082425">
        <w:rPr>
          <w:rFonts w:ascii="Times New Roman" w:eastAsia="宋体" w:hAnsi="Times New Roman" w:cs="Times New Roman"/>
          <w:sz w:val="24"/>
          <w:szCs w:val="32"/>
        </w:rPr>
        <w:t xml:space="preserve"> </w:t>
      </w:r>
      <w:r w:rsidR="00D1724F" w:rsidRPr="00082425">
        <w:rPr>
          <w:rFonts w:ascii="Times New Roman" w:eastAsia="宋体" w:hAnsi="Times New Roman" w:cs="Times New Roman"/>
          <w:sz w:val="24"/>
          <w:szCs w:val="32"/>
        </w:rPr>
        <w:t>橙皮</w:t>
      </w:r>
      <w:proofErr w:type="gramStart"/>
      <w:r w:rsidR="00D1724F" w:rsidRPr="00082425">
        <w:rPr>
          <w:rFonts w:ascii="Times New Roman" w:eastAsia="宋体" w:hAnsi="Times New Roman" w:cs="Times New Roman"/>
          <w:sz w:val="24"/>
          <w:szCs w:val="32"/>
        </w:rPr>
        <w:t>苷</w:t>
      </w:r>
      <w:proofErr w:type="gramEnd"/>
      <w:r w:rsidRPr="00082425">
        <w:rPr>
          <w:rFonts w:ascii="Times New Roman" w:eastAsia="宋体" w:hAnsi="Times New Roman" w:cs="Times New Roman"/>
          <w:sz w:val="24"/>
          <w:szCs w:val="32"/>
        </w:rPr>
        <w:t>标准曲线</w:t>
      </w:r>
    </w:p>
    <w:p w14:paraId="01A00B98" w14:textId="77777777" w:rsidR="00997DF0" w:rsidRPr="00082425" w:rsidRDefault="00997DF0">
      <w:pPr>
        <w:widowControl/>
        <w:rPr>
          <w:rFonts w:ascii="Times New Roman" w:eastAsia="宋体" w:hAnsi="Times New Roman" w:cs="Times New Roman"/>
        </w:rPr>
      </w:pPr>
    </w:p>
    <w:p w14:paraId="5E47BAD6" w14:textId="44170AC8" w:rsidR="00997DF0" w:rsidRPr="00082425" w:rsidRDefault="002D158B">
      <w:pPr>
        <w:widowControl/>
        <w:rPr>
          <w:rFonts w:ascii="Times New Roman" w:eastAsia="宋体" w:hAnsi="Times New Roman" w:cs="Times New Roman"/>
        </w:rPr>
      </w:pPr>
      <w:r w:rsidRPr="00082425">
        <w:rPr>
          <w:rFonts w:ascii="Times New Roman" w:hAnsi="Times New Roman" w:cs="Times New Roman"/>
          <w:noProof/>
        </w:rPr>
        <w:lastRenderedPageBreak/>
        <w:drawing>
          <wp:inline distT="0" distB="0" distL="0" distR="0" wp14:anchorId="430579F7" wp14:editId="6A0F01FC">
            <wp:extent cx="5274310" cy="3088640"/>
            <wp:effectExtent l="0" t="0" r="2540" b="0"/>
            <wp:docPr id="1652141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41395" name=""/>
                    <pic:cNvPicPr/>
                  </pic:nvPicPr>
                  <pic:blipFill>
                    <a:blip r:embed="rId11"/>
                    <a:stretch>
                      <a:fillRect/>
                    </a:stretch>
                  </pic:blipFill>
                  <pic:spPr>
                    <a:xfrm>
                      <a:off x="0" y="0"/>
                      <a:ext cx="5274310" cy="3088640"/>
                    </a:xfrm>
                    <a:prstGeom prst="rect">
                      <a:avLst/>
                    </a:prstGeom>
                  </pic:spPr>
                </pic:pic>
              </a:graphicData>
            </a:graphic>
          </wp:inline>
        </w:drawing>
      </w:r>
    </w:p>
    <w:p w14:paraId="193A4F2A" w14:textId="4C69077C" w:rsidR="002D158B" w:rsidRPr="00082425" w:rsidRDefault="00B13003" w:rsidP="00B13003">
      <w:pPr>
        <w:widowControl/>
        <w:jc w:val="center"/>
        <w:rPr>
          <w:rFonts w:ascii="Times New Roman" w:eastAsia="宋体" w:hAnsi="Times New Roman" w:cs="Times New Roman"/>
        </w:rPr>
      </w:pPr>
      <w:r w:rsidRPr="00082425">
        <w:rPr>
          <w:rFonts w:ascii="Times New Roman" w:eastAsia="宋体" w:hAnsi="Times New Roman" w:cs="Times New Roman"/>
          <w:b/>
          <w:bCs/>
        </w:rPr>
        <w:t>图</w:t>
      </w:r>
      <w:r w:rsidRPr="00082425">
        <w:rPr>
          <w:rFonts w:ascii="Times New Roman" w:eastAsia="宋体" w:hAnsi="Times New Roman" w:cs="Times New Roman"/>
          <w:b/>
          <w:bCs/>
        </w:rPr>
        <w:t>4</w:t>
      </w:r>
      <w:r w:rsidRPr="00082425">
        <w:rPr>
          <w:rFonts w:ascii="Times New Roman" w:eastAsia="宋体" w:hAnsi="Times New Roman" w:cs="Times New Roman"/>
        </w:rPr>
        <w:t xml:space="preserve"> </w:t>
      </w:r>
      <w:r w:rsidR="008B7850" w:rsidRPr="00082425">
        <w:rPr>
          <w:rFonts w:ascii="Times New Roman" w:eastAsia="宋体" w:hAnsi="Times New Roman" w:cs="Times New Roman"/>
          <w:color w:val="000000"/>
          <w:szCs w:val="22"/>
        </w:rPr>
        <w:t>漆黃素</w:t>
      </w:r>
      <w:r w:rsidRPr="00082425">
        <w:rPr>
          <w:rFonts w:ascii="Times New Roman" w:eastAsia="宋体" w:hAnsi="Times New Roman" w:cs="Times New Roman"/>
        </w:rPr>
        <w:t>标准曲线</w:t>
      </w:r>
    </w:p>
    <w:p w14:paraId="1084D7F6" w14:textId="55F4A5FD" w:rsidR="002D158B" w:rsidRPr="00082425" w:rsidRDefault="007D713F">
      <w:pPr>
        <w:widowControl/>
        <w:rPr>
          <w:rFonts w:ascii="Times New Roman" w:eastAsia="宋体" w:hAnsi="Times New Roman" w:cs="Times New Roman"/>
        </w:rPr>
      </w:pPr>
      <w:r w:rsidRPr="00082425">
        <w:rPr>
          <w:rFonts w:ascii="Times New Roman" w:hAnsi="Times New Roman" w:cs="Times New Roman"/>
          <w:noProof/>
        </w:rPr>
        <w:drawing>
          <wp:inline distT="0" distB="0" distL="0" distR="0" wp14:anchorId="2590B281" wp14:editId="0CA48B64">
            <wp:extent cx="5274310" cy="3154045"/>
            <wp:effectExtent l="0" t="0" r="2540" b="8255"/>
            <wp:docPr id="2083585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85263" name=""/>
                    <pic:cNvPicPr/>
                  </pic:nvPicPr>
                  <pic:blipFill>
                    <a:blip r:embed="rId12"/>
                    <a:stretch>
                      <a:fillRect/>
                    </a:stretch>
                  </pic:blipFill>
                  <pic:spPr>
                    <a:xfrm>
                      <a:off x="0" y="0"/>
                      <a:ext cx="5274310" cy="3154045"/>
                    </a:xfrm>
                    <a:prstGeom prst="rect">
                      <a:avLst/>
                    </a:prstGeom>
                  </pic:spPr>
                </pic:pic>
              </a:graphicData>
            </a:graphic>
          </wp:inline>
        </w:drawing>
      </w:r>
    </w:p>
    <w:p w14:paraId="4CBB81F3" w14:textId="645B4C11" w:rsidR="002D158B" w:rsidRPr="00082425" w:rsidRDefault="007D713F" w:rsidP="007D713F">
      <w:pPr>
        <w:widowControl/>
        <w:jc w:val="center"/>
        <w:rPr>
          <w:rFonts w:ascii="Times New Roman" w:eastAsia="宋体" w:hAnsi="Times New Roman" w:cs="Times New Roman"/>
        </w:rPr>
      </w:pPr>
      <w:r w:rsidRPr="00082425">
        <w:rPr>
          <w:rFonts w:ascii="Times New Roman" w:eastAsia="宋体" w:hAnsi="Times New Roman" w:cs="Times New Roman"/>
          <w:b/>
          <w:bCs/>
        </w:rPr>
        <w:t>图</w:t>
      </w:r>
      <w:r w:rsidRPr="00082425">
        <w:rPr>
          <w:rFonts w:ascii="Times New Roman" w:eastAsia="宋体" w:hAnsi="Times New Roman" w:cs="Times New Roman"/>
          <w:b/>
          <w:bCs/>
        </w:rPr>
        <w:t>5</w:t>
      </w:r>
      <w:r w:rsidRPr="00082425">
        <w:rPr>
          <w:rFonts w:ascii="Times New Roman" w:eastAsia="宋体" w:hAnsi="Times New Roman" w:cs="Times New Roman"/>
        </w:rPr>
        <w:t xml:space="preserve"> </w:t>
      </w:r>
      <w:r w:rsidRPr="00082425">
        <w:rPr>
          <w:rFonts w:ascii="Times New Roman" w:eastAsia="宋体" w:hAnsi="Times New Roman" w:cs="Times New Roman"/>
        </w:rPr>
        <w:t>大豆素标准曲线</w:t>
      </w:r>
    </w:p>
    <w:p w14:paraId="38B24B80" w14:textId="1D82163F" w:rsidR="007D713F" w:rsidRPr="00082425" w:rsidRDefault="007D713F">
      <w:pPr>
        <w:widowControl/>
        <w:rPr>
          <w:rFonts w:ascii="Times New Roman" w:eastAsia="宋体" w:hAnsi="Times New Roman" w:cs="Times New Roman"/>
        </w:rPr>
      </w:pPr>
      <w:r w:rsidRPr="00082425">
        <w:rPr>
          <w:rFonts w:ascii="Times New Roman" w:eastAsia="宋体" w:hAnsi="Times New Roman" w:cs="Times New Roman"/>
        </w:rPr>
        <w:br w:type="page"/>
      </w:r>
    </w:p>
    <w:p w14:paraId="229C4236" w14:textId="21E34009" w:rsidR="002D158B" w:rsidRPr="00082425" w:rsidRDefault="00E25EF5">
      <w:pPr>
        <w:widowControl/>
        <w:rPr>
          <w:rFonts w:ascii="Times New Roman" w:eastAsia="宋体" w:hAnsi="Times New Roman" w:cs="Times New Roman"/>
        </w:rPr>
      </w:pPr>
      <w:r w:rsidRPr="00082425">
        <w:rPr>
          <w:rFonts w:ascii="Times New Roman" w:hAnsi="Times New Roman" w:cs="Times New Roman"/>
          <w:noProof/>
        </w:rPr>
        <w:lastRenderedPageBreak/>
        <w:drawing>
          <wp:inline distT="0" distB="0" distL="0" distR="0" wp14:anchorId="261C5F54" wp14:editId="0C421B2E">
            <wp:extent cx="5274310" cy="3140710"/>
            <wp:effectExtent l="0" t="0" r="2540" b="2540"/>
            <wp:docPr id="1220927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27443" name=""/>
                    <pic:cNvPicPr/>
                  </pic:nvPicPr>
                  <pic:blipFill>
                    <a:blip r:embed="rId13"/>
                    <a:stretch>
                      <a:fillRect/>
                    </a:stretch>
                  </pic:blipFill>
                  <pic:spPr>
                    <a:xfrm>
                      <a:off x="0" y="0"/>
                      <a:ext cx="5274310" cy="3140710"/>
                    </a:xfrm>
                    <a:prstGeom prst="rect">
                      <a:avLst/>
                    </a:prstGeom>
                  </pic:spPr>
                </pic:pic>
              </a:graphicData>
            </a:graphic>
          </wp:inline>
        </w:drawing>
      </w:r>
    </w:p>
    <w:p w14:paraId="6DE3F3C5" w14:textId="3D9F6417" w:rsidR="00E25EF5" w:rsidRPr="00082425" w:rsidRDefault="00E25EF5" w:rsidP="00E25EF5">
      <w:pPr>
        <w:widowControl/>
        <w:jc w:val="center"/>
        <w:rPr>
          <w:rFonts w:ascii="Times New Roman" w:eastAsia="宋体" w:hAnsi="Times New Roman" w:cs="Times New Roman"/>
        </w:rPr>
      </w:pPr>
      <w:r w:rsidRPr="00082425">
        <w:rPr>
          <w:rFonts w:ascii="Times New Roman" w:eastAsia="宋体" w:hAnsi="Times New Roman" w:cs="Times New Roman"/>
          <w:b/>
          <w:bCs/>
        </w:rPr>
        <w:t>图</w:t>
      </w:r>
      <w:r w:rsidRPr="00082425">
        <w:rPr>
          <w:rFonts w:ascii="Times New Roman" w:eastAsia="宋体" w:hAnsi="Times New Roman" w:cs="Times New Roman"/>
          <w:b/>
          <w:bCs/>
        </w:rPr>
        <w:t>6</w:t>
      </w:r>
      <w:r w:rsidRPr="00082425">
        <w:rPr>
          <w:rFonts w:ascii="Times New Roman" w:eastAsia="宋体" w:hAnsi="Times New Roman" w:cs="Times New Roman"/>
        </w:rPr>
        <w:t xml:space="preserve"> </w:t>
      </w:r>
      <w:r w:rsidRPr="00082425">
        <w:rPr>
          <w:rFonts w:ascii="Times New Roman" w:eastAsia="宋体" w:hAnsi="Times New Roman" w:cs="Times New Roman"/>
        </w:rPr>
        <w:t>染料木素标准曲线</w:t>
      </w:r>
    </w:p>
    <w:p w14:paraId="313CB5FE" w14:textId="4023C2DE" w:rsidR="00E25EF5" w:rsidRPr="00082425" w:rsidRDefault="000A5D84" w:rsidP="00E25EF5">
      <w:pPr>
        <w:widowControl/>
        <w:jc w:val="center"/>
        <w:rPr>
          <w:rFonts w:ascii="Times New Roman" w:eastAsia="宋体" w:hAnsi="Times New Roman" w:cs="Times New Roman"/>
        </w:rPr>
      </w:pPr>
      <w:r w:rsidRPr="00082425">
        <w:rPr>
          <w:rFonts w:ascii="Times New Roman" w:eastAsia="宋体" w:hAnsi="Times New Roman" w:cs="Times New Roman"/>
          <w:noProof/>
        </w:rPr>
        <w:drawing>
          <wp:inline distT="0" distB="0" distL="0" distR="0" wp14:anchorId="1560A3D4" wp14:editId="51BFA4D8">
            <wp:extent cx="5273675" cy="3164205"/>
            <wp:effectExtent l="0" t="0" r="3175" b="0"/>
            <wp:docPr id="144638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675" cy="3164205"/>
                    </a:xfrm>
                    <a:prstGeom prst="rect">
                      <a:avLst/>
                    </a:prstGeom>
                    <a:noFill/>
                  </pic:spPr>
                </pic:pic>
              </a:graphicData>
            </a:graphic>
          </wp:inline>
        </w:drawing>
      </w:r>
    </w:p>
    <w:p w14:paraId="7C030083" w14:textId="6484F9B6" w:rsidR="000A5D84" w:rsidRPr="00082425" w:rsidRDefault="000A5D84" w:rsidP="000A5D84">
      <w:pPr>
        <w:widowControl/>
        <w:jc w:val="center"/>
        <w:rPr>
          <w:rFonts w:ascii="Times New Roman" w:eastAsia="宋体" w:hAnsi="Times New Roman" w:cs="Times New Roman"/>
        </w:rPr>
      </w:pPr>
      <w:r w:rsidRPr="00082425">
        <w:rPr>
          <w:rFonts w:ascii="Times New Roman" w:eastAsia="宋体" w:hAnsi="Times New Roman" w:cs="Times New Roman"/>
          <w:b/>
          <w:bCs/>
        </w:rPr>
        <w:t>图</w:t>
      </w:r>
      <w:r w:rsidR="006561BC" w:rsidRPr="00082425">
        <w:rPr>
          <w:rFonts w:ascii="Times New Roman" w:eastAsia="宋体" w:hAnsi="Times New Roman" w:cs="Times New Roman"/>
          <w:b/>
          <w:bCs/>
        </w:rPr>
        <w:t>7</w:t>
      </w:r>
      <w:r w:rsidRPr="00082425">
        <w:rPr>
          <w:rFonts w:ascii="Times New Roman" w:eastAsia="宋体" w:hAnsi="Times New Roman" w:cs="Times New Roman"/>
        </w:rPr>
        <w:t xml:space="preserve"> </w:t>
      </w:r>
      <w:r w:rsidRPr="00082425">
        <w:rPr>
          <w:rFonts w:ascii="Times New Roman" w:eastAsia="宋体" w:hAnsi="Times New Roman" w:cs="Times New Roman"/>
        </w:rPr>
        <w:t>补</w:t>
      </w:r>
      <w:proofErr w:type="gramStart"/>
      <w:r w:rsidRPr="00082425">
        <w:rPr>
          <w:rFonts w:ascii="Times New Roman" w:eastAsia="宋体" w:hAnsi="Times New Roman" w:cs="Times New Roman"/>
        </w:rPr>
        <w:t>骨脂宁标准曲线</w:t>
      </w:r>
      <w:proofErr w:type="gramEnd"/>
    </w:p>
    <w:p w14:paraId="4446287E" w14:textId="77777777" w:rsidR="000A5D84" w:rsidRPr="00082425" w:rsidRDefault="000A5D84" w:rsidP="00997DF0">
      <w:pPr>
        <w:widowControl/>
        <w:rPr>
          <w:rFonts w:ascii="Times New Roman" w:eastAsia="宋体" w:hAnsi="Times New Roman" w:cs="Times New Roman"/>
        </w:rPr>
      </w:pPr>
    </w:p>
    <w:p w14:paraId="6997B4E1" w14:textId="365907EF" w:rsidR="000A5D84" w:rsidRPr="00082425" w:rsidRDefault="000A5D84">
      <w:pPr>
        <w:widowControl/>
        <w:rPr>
          <w:rFonts w:ascii="Times New Roman" w:eastAsia="宋体" w:hAnsi="Times New Roman" w:cs="Times New Roman"/>
        </w:rPr>
      </w:pPr>
      <w:r w:rsidRPr="00082425">
        <w:rPr>
          <w:rFonts w:ascii="Times New Roman" w:eastAsia="宋体" w:hAnsi="Times New Roman" w:cs="Times New Roman"/>
        </w:rPr>
        <w:br w:type="page"/>
      </w:r>
    </w:p>
    <w:p w14:paraId="0EF253D6" w14:textId="43656ABA" w:rsidR="004B0268" w:rsidRPr="00082425" w:rsidRDefault="004B0268" w:rsidP="004B0268">
      <w:pPr>
        <w:spacing w:beforeLines="50" w:before="156" w:afterLines="50" w:after="156" w:line="360" w:lineRule="auto"/>
        <w:jc w:val="center"/>
        <w:rPr>
          <w:rFonts w:ascii="Times New Roman" w:eastAsia="宋体" w:hAnsi="Times New Roman" w:cs="Times New Roman"/>
          <w:szCs w:val="28"/>
        </w:rPr>
      </w:pPr>
      <w:r w:rsidRPr="00082425">
        <w:rPr>
          <w:rFonts w:ascii="Times New Roman" w:eastAsia="宋体" w:hAnsi="Times New Roman" w:cs="Times New Roman"/>
          <w:b/>
          <w:bCs/>
          <w:noProof/>
          <w:sz w:val="21"/>
          <w:szCs w:val="22"/>
        </w:rPr>
        <w:lastRenderedPageBreak/>
        <w:drawing>
          <wp:anchor distT="0" distB="0" distL="114300" distR="114300" simplePos="0" relativeHeight="251661312" behindDoc="0" locked="0" layoutInCell="1" allowOverlap="1" wp14:anchorId="68B03801" wp14:editId="5A678E09">
            <wp:simplePos x="0" y="0"/>
            <wp:positionH relativeFrom="margin">
              <wp:posOffset>18107</wp:posOffset>
            </wp:positionH>
            <wp:positionV relativeFrom="paragraph">
              <wp:posOffset>170</wp:posOffset>
            </wp:positionV>
            <wp:extent cx="5274310" cy="3211830"/>
            <wp:effectExtent l="0" t="0" r="2540" b="7620"/>
            <wp:wrapTopAndBottom/>
            <wp:docPr id="1452416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1628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211830"/>
                    </a:xfrm>
                    <a:prstGeom prst="rect">
                      <a:avLst/>
                    </a:prstGeom>
                  </pic:spPr>
                </pic:pic>
              </a:graphicData>
            </a:graphic>
          </wp:anchor>
        </w:drawing>
      </w:r>
      <w:r w:rsidRPr="00082425">
        <w:rPr>
          <w:rFonts w:ascii="Times New Roman" w:eastAsia="宋体" w:hAnsi="Times New Roman" w:cs="Times New Roman"/>
          <w:b/>
          <w:bCs/>
          <w:szCs w:val="28"/>
        </w:rPr>
        <w:t>图</w:t>
      </w:r>
      <w:r w:rsidR="006561BC" w:rsidRPr="00082425">
        <w:rPr>
          <w:rFonts w:ascii="Times New Roman" w:eastAsia="宋体" w:hAnsi="Times New Roman" w:cs="Times New Roman"/>
          <w:b/>
          <w:bCs/>
          <w:szCs w:val="28"/>
        </w:rPr>
        <w:t>8</w:t>
      </w:r>
      <w:r w:rsidRPr="00082425">
        <w:rPr>
          <w:rFonts w:ascii="Times New Roman" w:eastAsia="宋体" w:hAnsi="Times New Roman" w:cs="Times New Roman"/>
          <w:szCs w:val="28"/>
        </w:rPr>
        <w:t xml:space="preserve"> </w:t>
      </w:r>
      <w:r w:rsidRPr="00082425">
        <w:rPr>
          <w:rFonts w:ascii="Times New Roman" w:eastAsia="宋体" w:hAnsi="Times New Roman" w:cs="Times New Roman"/>
          <w:szCs w:val="28"/>
        </w:rPr>
        <w:t>补</w:t>
      </w:r>
      <w:proofErr w:type="gramStart"/>
      <w:r w:rsidRPr="00082425">
        <w:rPr>
          <w:rFonts w:ascii="Times New Roman" w:eastAsia="宋体" w:hAnsi="Times New Roman" w:cs="Times New Roman"/>
          <w:szCs w:val="28"/>
        </w:rPr>
        <w:t>骨脂甲素</w:t>
      </w:r>
      <w:proofErr w:type="gramEnd"/>
      <w:r w:rsidRPr="00082425">
        <w:rPr>
          <w:rFonts w:ascii="Times New Roman" w:eastAsia="宋体" w:hAnsi="Times New Roman" w:cs="Times New Roman"/>
          <w:szCs w:val="28"/>
        </w:rPr>
        <w:t>标准曲线</w:t>
      </w:r>
    </w:p>
    <w:p w14:paraId="10921DB0" w14:textId="00FDA157" w:rsidR="000A5D84" w:rsidRPr="00082425" w:rsidRDefault="000A5D84" w:rsidP="00997DF0">
      <w:pPr>
        <w:widowControl/>
        <w:rPr>
          <w:rFonts w:ascii="Times New Roman" w:eastAsia="宋体" w:hAnsi="Times New Roman" w:cs="Times New Roman"/>
        </w:rPr>
      </w:pPr>
    </w:p>
    <w:p w14:paraId="1B4BF317" w14:textId="633D6A9D" w:rsidR="00A54DFE" w:rsidRPr="00082425" w:rsidRDefault="00D20A5E" w:rsidP="00997DF0">
      <w:pPr>
        <w:widowControl/>
        <w:rPr>
          <w:rFonts w:ascii="Times New Roman" w:eastAsia="宋体" w:hAnsi="Times New Roman" w:cs="Times New Roman"/>
        </w:rPr>
        <w:sectPr w:rsidR="00A54DFE" w:rsidRPr="00082425">
          <w:footerReference w:type="default" r:id="rId16"/>
          <w:pgSz w:w="11906" w:h="16838"/>
          <w:pgMar w:top="1440" w:right="1800" w:bottom="1440" w:left="1800" w:header="851" w:footer="992" w:gutter="0"/>
          <w:cols w:space="425"/>
          <w:docGrid w:type="lines" w:linePitch="312"/>
        </w:sectPr>
      </w:pPr>
      <w:r w:rsidRPr="00082425">
        <w:rPr>
          <w:rFonts w:ascii="Times New Roman" w:eastAsia="宋体" w:hAnsi="Times New Roman" w:cs="Times New Roman"/>
        </w:rPr>
        <w:br w:type="page"/>
      </w:r>
    </w:p>
    <w:p w14:paraId="2A74AFB6" w14:textId="14252817" w:rsidR="00D20A5E" w:rsidRPr="00082425" w:rsidRDefault="005E36B7" w:rsidP="00A54DFE">
      <w:pPr>
        <w:jc w:val="center"/>
        <w:rPr>
          <w:rFonts w:ascii="Times New Roman" w:eastAsia="宋体" w:hAnsi="Times New Roman" w:cs="Times New Roman"/>
        </w:rPr>
      </w:pPr>
      <w:r w:rsidRPr="00082425">
        <w:rPr>
          <w:rFonts w:ascii="Times New Roman" w:eastAsia="宋体" w:hAnsi="Times New Roman" w:cs="Times New Roman"/>
          <w:b/>
          <w:bCs/>
        </w:rPr>
        <w:lastRenderedPageBreak/>
        <w:t>表</w:t>
      </w:r>
      <w:r w:rsidRPr="00082425">
        <w:rPr>
          <w:rFonts w:ascii="Times New Roman" w:eastAsia="宋体" w:hAnsi="Times New Roman" w:cs="Times New Roman"/>
          <w:b/>
          <w:bCs/>
        </w:rPr>
        <w:t>2</w:t>
      </w:r>
      <w:r w:rsidRPr="00082425">
        <w:rPr>
          <w:rFonts w:ascii="Times New Roman" w:eastAsia="宋体" w:hAnsi="Times New Roman" w:cs="Times New Roman"/>
        </w:rPr>
        <w:t xml:space="preserve"> </w:t>
      </w:r>
      <w:r w:rsidR="007E691E" w:rsidRPr="00082425">
        <w:rPr>
          <w:rFonts w:ascii="Times New Roman" w:eastAsia="宋体" w:hAnsi="Times New Roman" w:cs="Times New Roman"/>
        </w:rPr>
        <w:t>10</w:t>
      </w:r>
      <w:r w:rsidR="004A1C8E" w:rsidRPr="00082425">
        <w:rPr>
          <w:rFonts w:ascii="Times New Roman" w:eastAsia="宋体" w:hAnsi="Times New Roman" w:cs="Times New Roman"/>
        </w:rPr>
        <w:t>批</w:t>
      </w:r>
      <w:r w:rsidR="00E7789C" w:rsidRPr="00082425">
        <w:rPr>
          <w:rFonts w:ascii="Times New Roman" w:eastAsia="宋体" w:hAnsi="Times New Roman" w:cs="Times New Roman"/>
        </w:rPr>
        <w:t>DIGESTIVE CARE</w:t>
      </w:r>
      <w:r w:rsidR="007F7180" w:rsidRPr="00082425">
        <w:rPr>
          <w:rFonts w:ascii="Times New Roman" w:eastAsia="宋体" w:hAnsi="Times New Roman" w:cs="Times New Roman"/>
        </w:rPr>
        <w:t>样品</w:t>
      </w:r>
      <w:r w:rsidR="00A54DFE" w:rsidRPr="00082425">
        <w:rPr>
          <w:rFonts w:ascii="Times New Roman" w:eastAsia="宋体" w:hAnsi="Times New Roman" w:cs="Times New Roman"/>
        </w:rPr>
        <w:t>主要化学成分</w:t>
      </w:r>
      <w:r w:rsidR="000D09F3" w:rsidRPr="00082425">
        <w:rPr>
          <w:rFonts w:ascii="Times New Roman" w:eastAsia="宋体" w:hAnsi="Times New Roman" w:cs="Times New Roman"/>
        </w:rPr>
        <w:t>定性和定量分析结果</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1429"/>
        <w:gridCol w:w="1598"/>
        <w:gridCol w:w="2693"/>
        <w:gridCol w:w="3589"/>
        <w:gridCol w:w="2435"/>
        <w:gridCol w:w="1697"/>
      </w:tblGrid>
      <w:tr w:rsidR="00117821" w:rsidRPr="00082425" w14:paraId="209710BA" w14:textId="77777777" w:rsidTr="003B23FA">
        <w:trPr>
          <w:jc w:val="center"/>
        </w:trPr>
        <w:tc>
          <w:tcPr>
            <w:tcW w:w="517" w:type="dxa"/>
            <w:tcBorders>
              <w:top w:val="single" w:sz="4" w:space="0" w:color="auto"/>
              <w:bottom w:val="single" w:sz="4" w:space="0" w:color="auto"/>
            </w:tcBorders>
          </w:tcPr>
          <w:p w14:paraId="51AA2702" w14:textId="7DF21CFE" w:rsidR="00117821" w:rsidRPr="00082425" w:rsidRDefault="00117821" w:rsidP="00435242">
            <w:pPr>
              <w:spacing w:line="360" w:lineRule="exact"/>
              <w:jc w:val="center"/>
              <w:rPr>
                <w:rFonts w:ascii="Times New Roman" w:eastAsia="宋体" w:hAnsi="Times New Roman" w:cs="Times New Roman"/>
                <w:b/>
                <w:bCs/>
              </w:rPr>
            </w:pPr>
          </w:p>
        </w:tc>
        <w:tc>
          <w:tcPr>
            <w:tcW w:w="1429" w:type="dxa"/>
            <w:tcBorders>
              <w:top w:val="single" w:sz="4" w:space="0" w:color="auto"/>
              <w:bottom w:val="single" w:sz="4" w:space="0" w:color="auto"/>
            </w:tcBorders>
          </w:tcPr>
          <w:p w14:paraId="07A762CE" w14:textId="69E6D8BB" w:rsidR="00117821" w:rsidRPr="00082425" w:rsidRDefault="00117821" w:rsidP="005B74BA">
            <w:pPr>
              <w:widowControl/>
              <w:spacing w:line="360" w:lineRule="exact"/>
              <w:jc w:val="center"/>
              <w:rPr>
                <w:rFonts w:ascii="Times New Roman" w:eastAsia="宋体" w:hAnsi="Times New Roman" w:cs="Times New Roman"/>
                <w:b/>
                <w:bCs/>
                <w:color w:val="000000"/>
                <w:szCs w:val="22"/>
              </w:rPr>
            </w:pPr>
            <w:r w:rsidRPr="00082425">
              <w:rPr>
                <w:rFonts w:ascii="Times New Roman" w:eastAsia="宋体" w:hAnsi="Times New Roman" w:cs="Times New Roman"/>
                <w:b/>
                <w:bCs/>
                <w:color w:val="000000"/>
                <w:szCs w:val="22"/>
              </w:rPr>
              <w:t>保留时间</w:t>
            </w:r>
            <w:r w:rsidRPr="00082425">
              <w:rPr>
                <w:rFonts w:ascii="Times New Roman" w:eastAsia="宋体" w:hAnsi="Times New Roman" w:cs="Times New Roman"/>
                <w:b/>
                <w:bCs/>
                <w:color w:val="000000"/>
                <w:szCs w:val="22"/>
              </w:rPr>
              <w:br/>
              <w:t>(min)</w:t>
            </w:r>
          </w:p>
        </w:tc>
        <w:tc>
          <w:tcPr>
            <w:tcW w:w="1598" w:type="dxa"/>
            <w:tcBorders>
              <w:top w:val="single" w:sz="4" w:space="0" w:color="auto"/>
              <w:bottom w:val="single" w:sz="4" w:space="0" w:color="auto"/>
            </w:tcBorders>
          </w:tcPr>
          <w:p w14:paraId="76AC8874" w14:textId="77777777" w:rsidR="00117821" w:rsidRPr="00082425" w:rsidRDefault="00117821" w:rsidP="00435242">
            <w:pPr>
              <w:spacing w:line="360" w:lineRule="exact"/>
              <w:jc w:val="center"/>
              <w:rPr>
                <w:rFonts w:ascii="Times New Roman" w:eastAsia="宋体" w:hAnsi="Times New Roman" w:cs="Times New Roman"/>
                <w:b/>
                <w:bCs/>
              </w:rPr>
            </w:pPr>
            <w:r w:rsidRPr="00082425">
              <w:rPr>
                <w:rFonts w:ascii="Times New Roman" w:eastAsia="宋体" w:hAnsi="Times New Roman" w:cs="Times New Roman"/>
                <w:b/>
                <w:bCs/>
              </w:rPr>
              <w:t>含量</w:t>
            </w:r>
          </w:p>
          <w:p w14:paraId="2BD5E7C2" w14:textId="642BB0E4" w:rsidR="00117821" w:rsidRPr="00082425" w:rsidRDefault="0062692A" w:rsidP="00435242">
            <w:pPr>
              <w:spacing w:line="360" w:lineRule="exact"/>
              <w:jc w:val="center"/>
              <w:rPr>
                <w:rFonts w:ascii="Times New Roman" w:eastAsia="宋体" w:hAnsi="Times New Roman" w:cs="Times New Roman"/>
                <w:b/>
                <w:bCs/>
              </w:rPr>
            </w:pPr>
            <w:r w:rsidRPr="00082425">
              <w:rPr>
                <w:rFonts w:ascii="Times New Roman" w:eastAsia="宋体" w:hAnsi="Times New Roman" w:cs="Times New Roman"/>
                <w:b/>
                <w:bCs/>
              </w:rPr>
              <w:t>（</w:t>
            </w:r>
            <w:r w:rsidRPr="00082425">
              <w:rPr>
                <w:rFonts w:ascii="Times New Roman" w:eastAsia="宋体" w:hAnsi="Times New Roman" w:cs="Times New Roman"/>
                <w:b/>
                <w:bCs/>
              </w:rPr>
              <w:t>μg/g</w:t>
            </w:r>
            <w:r w:rsidRPr="00082425">
              <w:rPr>
                <w:rFonts w:ascii="Times New Roman" w:eastAsia="宋体" w:hAnsi="Times New Roman" w:cs="Times New Roman"/>
                <w:b/>
                <w:bCs/>
              </w:rPr>
              <w:t>）</w:t>
            </w:r>
          </w:p>
        </w:tc>
        <w:tc>
          <w:tcPr>
            <w:tcW w:w="2693" w:type="dxa"/>
            <w:tcBorders>
              <w:top w:val="single" w:sz="4" w:space="0" w:color="auto"/>
              <w:bottom w:val="single" w:sz="4" w:space="0" w:color="auto"/>
            </w:tcBorders>
          </w:tcPr>
          <w:p w14:paraId="3B861B9A" w14:textId="28E9C922" w:rsidR="00117821" w:rsidRPr="00082425" w:rsidRDefault="00117821" w:rsidP="00435242">
            <w:pPr>
              <w:spacing w:line="360" w:lineRule="exact"/>
              <w:jc w:val="center"/>
              <w:rPr>
                <w:rFonts w:ascii="Times New Roman" w:eastAsia="宋体" w:hAnsi="Times New Roman" w:cs="Times New Roman"/>
                <w:b/>
                <w:bCs/>
              </w:rPr>
            </w:pPr>
            <w:r w:rsidRPr="00082425">
              <w:rPr>
                <w:rFonts w:ascii="Times New Roman" w:eastAsia="宋体" w:hAnsi="Times New Roman" w:cs="Times New Roman"/>
                <w:b/>
                <w:bCs/>
              </w:rPr>
              <w:t>离子类型</w:t>
            </w:r>
          </w:p>
        </w:tc>
        <w:tc>
          <w:tcPr>
            <w:tcW w:w="3589" w:type="dxa"/>
            <w:tcBorders>
              <w:top w:val="single" w:sz="4" w:space="0" w:color="auto"/>
              <w:bottom w:val="single" w:sz="4" w:space="0" w:color="auto"/>
            </w:tcBorders>
          </w:tcPr>
          <w:p w14:paraId="451BE644" w14:textId="5ADDA561" w:rsidR="00117821" w:rsidRPr="00082425" w:rsidRDefault="00117821" w:rsidP="00435242">
            <w:pPr>
              <w:widowControl/>
              <w:spacing w:line="360" w:lineRule="exact"/>
              <w:jc w:val="center"/>
              <w:rPr>
                <w:rFonts w:ascii="Times New Roman" w:eastAsia="宋体" w:hAnsi="Times New Roman" w:cs="Times New Roman"/>
                <w:b/>
                <w:bCs/>
                <w:color w:val="000000"/>
                <w:szCs w:val="22"/>
              </w:rPr>
            </w:pPr>
            <w:r w:rsidRPr="00082425">
              <w:rPr>
                <w:rFonts w:ascii="Times New Roman" w:eastAsia="宋体" w:hAnsi="Times New Roman" w:cs="Times New Roman"/>
                <w:b/>
                <w:bCs/>
                <w:color w:val="000000"/>
                <w:szCs w:val="22"/>
              </w:rPr>
              <w:t>化学成分名称</w:t>
            </w:r>
          </w:p>
          <w:p w14:paraId="22DDC793" w14:textId="77777777" w:rsidR="00117821" w:rsidRPr="00082425" w:rsidRDefault="00117821" w:rsidP="00435242">
            <w:pPr>
              <w:spacing w:line="360" w:lineRule="exact"/>
              <w:jc w:val="center"/>
              <w:rPr>
                <w:rFonts w:ascii="Times New Roman" w:eastAsia="宋体" w:hAnsi="Times New Roman" w:cs="Times New Roman"/>
                <w:b/>
                <w:bCs/>
              </w:rPr>
            </w:pPr>
          </w:p>
        </w:tc>
        <w:tc>
          <w:tcPr>
            <w:tcW w:w="2435" w:type="dxa"/>
            <w:tcBorders>
              <w:top w:val="single" w:sz="4" w:space="0" w:color="auto"/>
              <w:bottom w:val="single" w:sz="4" w:space="0" w:color="auto"/>
            </w:tcBorders>
          </w:tcPr>
          <w:p w14:paraId="313E2A12" w14:textId="0D246AD8" w:rsidR="00117821" w:rsidRPr="00082425" w:rsidRDefault="00117821" w:rsidP="001E51E5">
            <w:pPr>
              <w:spacing w:line="360" w:lineRule="exact"/>
              <w:jc w:val="center"/>
              <w:rPr>
                <w:rFonts w:ascii="Times New Roman" w:eastAsia="宋体" w:hAnsi="Times New Roman" w:cs="Times New Roman"/>
                <w:b/>
                <w:bCs/>
              </w:rPr>
            </w:pPr>
            <w:r w:rsidRPr="00082425">
              <w:rPr>
                <w:rFonts w:ascii="Times New Roman" w:eastAsia="宋体" w:hAnsi="Times New Roman" w:cs="Times New Roman"/>
                <w:b/>
                <w:bCs/>
              </w:rPr>
              <w:t>化学成分类别</w:t>
            </w:r>
          </w:p>
        </w:tc>
        <w:tc>
          <w:tcPr>
            <w:tcW w:w="1697" w:type="dxa"/>
            <w:tcBorders>
              <w:top w:val="single" w:sz="4" w:space="0" w:color="auto"/>
              <w:bottom w:val="single" w:sz="4" w:space="0" w:color="auto"/>
            </w:tcBorders>
          </w:tcPr>
          <w:p w14:paraId="38E0BBF2" w14:textId="1F71B634" w:rsidR="00117821" w:rsidRPr="00082425" w:rsidRDefault="00117821" w:rsidP="00EB150D">
            <w:pPr>
              <w:spacing w:line="360" w:lineRule="exact"/>
              <w:jc w:val="center"/>
              <w:rPr>
                <w:rFonts w:ascii="Times New Roman" w:eastAsia="宋体" w:hAnsi="Times New Roman" w:cs="Times New Roman"/>
                <w:b/>
                <w:bCs/>
              </w:rPr>
            </w:pPr>
            <w:r w:rsidRPr="00082425">
              <w:rPr>
                <w:rFonts w:ascii="Times New Roman" w:eastAsia="宋体" w:hAnsi="Times New Roman" w:cs="Times New Roman"/>
                <w:b/>
                <w:bCs/>
              </w:rPr>
              <w:t>化学结构式</w:t>
            </w:r>
          </w:p>
        </w:tc>
      </w:tr>
      <w:tr w:rsidR="00BC5B85" w:rsidRPr="00082425" w14:paraId="538A76B6" w14:textId="77777777" w:rsidTr="003B23FA">
        <w:trPr>
          <w:jc w:val="center"/>
        </w:trPr>
        <w:tc>
          <w:tcPr>
            <w:tcW w:w="517" w:type="dxa"/>
          </w:tcPr>
          <w:p w14:paraId="27679F21" w14:textId="742A2A29"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1</w:t>
            </w:r>
          </w:p>
        </w:tc>
        <w:tc>
          <w:tcPr>
            <w:tcW w:w="1429" w:type="dxa"/>
          </w:tcPr>
          <w:p w14:paraId="4D508C21" w14:textId="22F784BD"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4.24</w:t>
            </w:r>
          </w:p>
        </w:tc>
        <w:tc>
          <w:tcPr>
            <w:tcW w:w="1598" w:type="dxa"/>
          </w:tcPr>
          <w:p w14:paraId="41AA86B0" w14:textId="6B62DD49"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w:t>
            </w:r>
          </w:p>
        </w:tc>
        <w:tc>
          <w:tcPr>
            <w:tcW w:w="2693" w:type="dxa"/>
          </w:tcPr>
          <w:p w14:paraId="261CB158" w14:textId="3C73CDCA"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[M-H]</w:t>
            </w:r>
            <w:r w:rsidRPr="00082425">
              <w:rPr>
                <w:rFonts w:ascii="Times New Roman" w:eastAsia="宋体" w:hAnsi="Times New Roman" w:cs="Times New Roman"/>
                <w:color w:val="000000"/>
                <w:szCs w:val="22"/>
                <w:vertAlign w:val="superscript"/>
              </w:rPr>
              <w:t>-</w:t>
            </w:r>
          </w:p>
        </w:tc>
        <w:tc>
          <w:tcPr>
            <w:tcW w:w="3589" w:type="dxa"/>
          </w:tcPr>
          <w:p w14:paraId="35CC5144" w14:textId="0FE7530E" w:rsidR="00BC5B85" w:rsidRPr="00082425" w:rsidRDefault="00BC5B85" w:rsidP="00BC5B85">
            <w:pPr>
              <w:spacing w:line="360" w:lineRule="exact"/>
              <w:jc w:val="both"/>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Leonoside A/ [(2R,3R,4R,5R,6R)-4-[(2S,3R,4R,5R,6S)-4,5-dihydroxy-6-methyl-3-[(2S,3R,4S,5S,6R)-3,4,5-trihydroxy-6-(hydroxymethyl)oxan-2-yl]oxyoxan-2-yl]oxy-6-[2-(3,4-dihydroxyphenyl)ethoxy]-5-hydroxy-2-(hydroxymethyl)oxan-3-yl] (E)-3-(3,4-dihydroxyphenyl)prop-2-enoate</w:t>
            </w:r>
          </w:p>
        </w:tc>
        <w:tc>
          <w:tcPr>
            <w:tcW w:w="2435" w:type="dxa"/>
          </w:tcPr>
          <w:p w14:paraId="7A565E70" w14:textId="77E5B95C"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苯丙素</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color w:val="000000"/>
                <w:szCs w:val="22"/>
              </w:rPr>
              <w:t>类</w:t>
            </w:r>
            <w:r w:rsidRPr="00082425">
              <w:rPr>
                <w:rFonts w:ascii="Times New Roman" w:eastAsia="宋体" w:hAnsi="Times New Roman" w:cs="Times New Roman"/>
                <w:color w:val="000000"/>
                <w:szCs w:val="22"/>
              </w:rPr>
              <w:t>Phenylpropanoid glycosides</w:t>
            </w:r>
          </w:p>
        </w:tc>
        <w:tc>
          <w:tcPr>
            <w:tcW w:w="1697" w:type="dxa"/>
          </w:tcPr>
          <w:p w14:paraId="5E71EC7E" w14:textId="1CD8930A"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35</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46</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20</w:t>
            </w:r>
          </w:p>
        </w:tc>
      </w:tr>
      <w:tr w:rsidR="00BC5B85" w:rsidRPr="00082425" w14:paraId="2F0A573D" w14:textId="77777777" w:rsidTr="003B23FA">
        <w:trPr>
          <w:jc w:val="center"/>
        </w:trPr>
        <w:tc>
          <w:tcPr>
            <w:tcW w:w="517" w:type="dxa"/>
          </w:tcPr>
          <w:p w14:paraId="01F91543" w14:textId="72F96EC3"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2</w:t>
            </w:r>
          </w:p>
        </w:tc>
        <w:tc>
          <w:tcPr>
            <w:tcW w:w="1429" w:type="dxa"/>
          </w:tcPr>
          <w:p w14:paraId="4BB16974" w14:textId="0CAC0155"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4.38</w:t>
            </w:r>
          </w:p>
        </w:tc>
        <w:tc>
          <w:tcPr>
            <w:tcW w:w="1598" w:type="dxa"/>
          </w:tcPr>
          <w:p w14:paraId="3A525C37" w14:textId="2D1E8FC0"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w:t>
            </w:r>
          </w:p>
        </w:tc>
        <w:tc>
          <w:tcPr>
            <w:tcW w:w="2693" w:type="dxa"/>
          </w:tcPr>
          <w:p w14:paraId="7027773C" w14:textId="45FDF2A4"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r w:rsidRPr="00082425">
              <w:rPr>
                <w:rFonts w:ascii="Times New Roman" w:eastAsia="宋体" w:hAnsi="Times New Roman" w:cs="Times New Roman"/>
                <w:color w:val="000000"/>
                <w:szCs w:val="22"/>
              </w:rPr>
              <w:t>/[M-H]</w:t>
            </w:r>
            <w:r w:rsidRPr="00082425">
              <w:rPr>
                <w:rFonts w:ascii="Times New Roman" w:eastAsia="宋体" w:hAnsi="Times New Roman" w:cs="Times New Roman"/>
                <w:color w:val="000000"/>
                <w:szCs w:val="22"/>
                <w:vertAlign w:val="superscript"/>
              </w:rPr>
              <w:t>-</w:t>
            </w:r>
          </w:p>
        </w:tc>
        <w:tc>
          <w:tcPr>
            <w:tcW w:w="3589" w:type="dxa"/>
          </w:tcPr>
          <w:p w14:paraId="35161F73" w14:textId="1D47D8DB" w:rsidR="00BC5B85" w:rsidRPr="00082425" w:rsidRDefault="00BC5B85" w:rsidP="00BC5B85">
            <w:pPr>
              <w:spacing w:afterLines="50" w:after="156" w:line="360" w:lineRule="exact"/>
              <w:rPr>
                <w:rFonts w:ascii="Times New Roman" w:eastAsia="宋体" w:hAnsi="Times New Roman" w:cs="Times New Roman"/>
                <w:lang w:val="pt-BR"/>
              </w:rPr>
            </w:pPr>
            <w:r w:rsidRPr="00082425">
              <w:rPr>
                <w:rFonts w:ascii="Times New Roman" w:eastAsia="宋体" w:hAnsi="Times New Roman" w:cs="Times New Roman"/>
                <w:lang w:val="pt-BR"/>
              </w:rPr>
              <w:t>Isoflavone base + 2</w:t>
            </w:r>
            <w:r w:rsidRPr="00082425">
              <w:rPr>
                <w:rFonts w:ascii="Times New Roman" w:eastAsia="宋体" w:hAnsi="Times New Roman" w:cs="Times New Roman"/>
                <w:i/>
                <w:iCs/>
                <w:lang w:val="pt-BR"/>
              </w:rPr>
              <w:t>O</w:t>
            </w:r>
            <w:r w:rsidRPr="00082425">
              <w:rPr>
                <w:rFonts w:ascii="Times New Roman" w:eastAsia="宋体" w:hAnsi="Times New Roman" w:cs="Times New Roman"/>
                <w:lang w:val="pt-BR"/>
              </w:rPr>
              <w:t xml:space="preserve">, </w:t>
            </w:r>
            <w:r w:rsidRPr="00082425">
              <w:rPr>
                <w:rFonts w:ascii="Times New Roman" w:eastAsia="宋体" w:hAnsi="Times New Roman" w:cs="Times New Roman"/>
                <w:i/>
                <w:iCs/>
                <w:lang w:val="pt-BR"/>
              </w:rPr>
              <w:t>O</w:t>
            </w:r>
            <w:r w:rsidRPr="00082425">
              <w:rPr>
                <w:rFonts w:ascii="Times New Roman" w:eastAsia="宋体" w:hAnsi="Times New Roman" w:cs="Times New Roman"/>
                <w:lang w:val="pt-BR"/>
              </w:rPr>
              <w:t>-Hex</w:t>
            </w:r>
          </w:p>
        </w:tc>
        <w:tc>
          <w:tcPr>
            <w:tcW w:w="2435" w:type="dxa"/>
          </w:tcPr>
          <w:p w14:paraId="449B51CB" w14:textId="5A9E9025"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异黄酮氧糖苷类</w:t>
            </w:r>
          </w:p>
          <w:p w14:paraId="2CC152EC" w14:textId="32AD7CD9" w:rsidR="00BC5B85" w:rsidRPr="00082425" w:rsidRDefault="00BC5B85" w:rsidP="00BC5B85">
            <w:pPr>
              <w:spacing w:afterLines="50" w:after="156"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 xml:space="preserve">Isoflavonoid </w:t>
            </w:r>
            <w:r w:rsidRPr="00082425">
              <w:rPr>
                <w:rFonts w:ascii="Times New Roman" w:eastAsia="宋体" w:hAnsi="Times New Roman" w:cs="Times New Roman"/>
                <w:i/>
                <w:iCs/>
                <w:color w:val="000000"/>
                <w:szCs w:val="22"/>
              </w:rPr>
              <w:t>O</w:t>
            </w:r>
            <w:r w:rsidRPr="00082425">
              <w:rPr>
                <w:rFonts w:ascii="Times New Roman" w:eastAsia="宋体" w:hAnsi="Times New Roman" w:cs="Times New Roman"/>
                <w:color w:val="000000"/>
                <w:szCs w:val="22"/>
              </w:rPr>
              <w:t>-glycosides</w:t>
            </w:r>
          </w:p>
        </w:tc>
        <w:tc>
          <w:tcPr>
            <w:tcW w:w="1697" w:type="dxa"/>
          </w:tcPr>
          <w:p w14:paraId="0F9700E7" w14:textId="59FAE990"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24</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22</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12</w:t>
            </w:r>
          </w:p>
        </w:tc>
      </w:tr>
      <w:tr w:rsidR="00BC5B85" w:rsidRPr="00082425" w14:paraId="4A99A620" w14:textId="77777777" w:rsidTr="003B23FA">
        <w:trPr>
          <w:jc w:val="center"/>
        </w:trPr>
        <w:tc>
          <w:tcPr>
            <w:tcW w:w="517" w:type="dxa"/>
          </w:tcPr>
          <w:p w14:paraId="2BA03153" w14:textId="3AA3B96F"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3</w:t>
            </w:r>
          </w:p>
        </w:tc>
        <w:tc>
          <w:tcPr>
            <w:tcW w:w="1429" w:type="dxa"/>
          </w:tcPr>
          <w:p w14:paraId="3B9117D1" w14:textId="6A0C7EDB"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5.15</w:t>
            </w:r>
          </w:p>
        </w:tc>
        <w:tc>
          <w:tcPr>
            <w:tcW w:w="1598" w:type="dxa"/>
          </w:tcPr>
          <w:p w14:paraId="31CF91AC" w14:textId="545F1D2C"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6.56</w:t>
            </w:r>
          </w:p>
        </w:tc>
        <w:tc>
          <w:tcPr>
            <w:tcW w:w="2693" w:type="dxa"/>
          </w:tcPr>
          <w:p w14:paraId="484B7E86" w14:textId="325995AB"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Pr>
          <w:p w14:paraId="71298192" w14:textId="1B9585E8"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p>
          <w:p w14:paraId="1341AD1B" w14:textId="4CE10FD7" w:rsidR="00BC5B85" w:rsidRPr="00082425" w:rsidRDefault="00BC5B85" w:rsidP="00BC5B85">
            <w:pPr>
              <w:spacing w:line="360" w:lineRule="exact"/>
              <w:rPr>
                <w:rFonts w:ascii="Times New Roman" w:eastAsia="宋体" w:hAnsi="Times New Roman" w:cs="Times New Roman"/>
              </w:rPr>
            </w:pPr>
            <w:r w:rsidRPr="00082425">
              <w:rPr>
                <w:rFonts w:ascii="Times New Roman" w:eastAsia="宋体" w:hAnsi="Times New Roman" w:cs="Times New Roman"/>
                <w:color w:val="000000"/>
                <w:szCs w:val="22"/>
              </w:rPr>
              <w:t>Liquiritin</w:t>
            </w:r>
          </w:p>
        </w:tc>
        <w:tc>
          <w:tcPr>
            <w:tcW w:w="2435" w:type="dxa"/>
          </w:tcPr>
          <w:p w14:paraId="1F2E38C5" w14:textId="1F7A61D6"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异黄酮氧糖苷类</w:t>
            </w:r>
          </w:p>
          <w:p w14:paraId="599A90CA" w14:textId="4B44AB57"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 xml:space="preserve">Flavonoid </w:t>
            </w:r>
            <w:r w:rsidRPr="00082425">
              <w:rPr>
                <w:rFonts w:ascii="Times New Roman" w:eastAsia="宋体" w:hAnsi="Times New Roman" w:cs="Times New Roman"/>
                <w:i/>
                <w:iCs/>
                <w:color w:val="000000"/>
                <w:szCs w:val="22"/>
              </w:rPr>
              <w:t>O</w:t>
            </w:r>
            <w:r w:rsidRPr="00082425">
              <w:rPr>
                <w:rFonts w:ascii="Times New Roman" w:eastAsia="宋体" w:hAnsi="Times New Roman" w:cs="Times New Roman"/>
                <w:color w:val="000000"/>
                <w:szCs w:val="22"/>
              </w:rPr>
              <w:t>-glycosides</w:t>
            </w:r>
          </w:p>
        </w:tc>
        <w:tc>
          <w:tcPr>
            <w:tcW w:w="1697" w:type="dxa"/>
          </w:tcPr>
          <w:p w14:paraId="19B18720" w14:textId="514A0A2C"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21</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22</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9</w:t>
            </w:r>
          </w:p>
        </w:tc>
      </w:tr>
      <w:tr w:rsidR="00BC5B85" w:rsidRPr="00082425" w14:paraId="3A0D28DB" w14:textId="77777777" w:rsidTr="003B23FA">
        <w:trPr>
          <w:jc w:val="center"/>
        </w:trPr>
        <w:tc>
          <w:tcPr>
            <w:tcW w:w="517" w:type="dxa"/>
          </w:tcPr>
          <w:p w14:paraId="0386E8C1" w14:textId="43642BAF"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4</w:t>
            </w:r>
          </w:p>
        </w:tc>
        <w:tc>
          <w:tcPr>
            <w:tcW w:w="1429" w:type="dxa"/>
          </w:tcPr>
          <w:p w14:paraId="699BE065" w14:textId="7C6B89BF"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5.24</w:t>
            </w:r>
          </w:p>
        </w:tc>
        <w:tc>
          <w:tcPr>
            <w:tcW w:w="1598" w:type="dxa"/>
          </w:tcPr>
          <w:p w14:paraId="38AB8B95" w14:textId="711E7F88"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w:t>
            </w:r>
          </w:p>
        </w:tc>
        <w:tc>
          <w:tcPr>
            <w:tcW w:w="2693" w:type="dxa"/>
          </w:tcPr>
          <w:p w14:paraId="1BFC69F2" w14:textId="03143114"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Pr>
          <w:p w14:paraId="3D7927EE" w14:textId="13BFB44D" w:rsidR="00BC5B85" w:rsidRPr="00082425" w:rsidRDefault="00BC5B85" w:rsidP="00BC5B85">
            <w:pPr>
              <w:spacing w:line="360" w:lineRule="exact"/>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Isoflavone base + 2</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 xml:space="preserve">, </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-MalonylHex</w:t>
            </w:r>
          </w:p>
        </w:tc>
        <w:tc>
          <w:tcPr>
            <w:tcW w:w="2435" w:type="dxa"/>
          </w:tcPr>
          <w:p w14:paraId="34027BE4" w14:textId="76A9912A"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异黄酮</w:t>
            </w:r>
            <w:r w:rsidRPr="00082425">
              <w:rPr>
                <w:rFonts w:ascii="Times New Roman" w:eastAsia="宋体" w:hAnsi="Times New Roman" w:cs="Times New Roman"/>
                <w:color w:val="000000"/>
                <w:szCs w:val="22"/>
              </w:rPr>
              <w:t>-7-</w:t>
            </w:r>
            <w:r w:rsidRPr="00082425">
              <w:rPr>
                <w:rFonts w:ascii="Times New Roman" w:eastAsia="宋体" w:hAnsi="Times New Roman" w:cs="Times New Roman"/>
                <w:color w:val="000000"/>
                <w:szCs w:val="22"/>
              </w:rPr>
              <w:t>氧糖苷类</w:t>
            </w:r>
          </w:p>
          <w:p w14:paraId="6BFDA615" w14:textId="4F33DB0E" w:rsidR="00BC5B85" w:rsidRPr="00082425" w:rsidRDefault="00BC5B85" w:rsidP="00BC5B85">
            <w:pPr>
              <w:spacing w:afterLines="50" w:after="156"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 xml:space="preserve">Isoflavonoid </w:t>
            </w:r>
            <w:r w:rsidRPr="00082425">
              <w:rPr>
                <w:rFonts w:ascii="Times New Roman" w:eastAsia="宋体" w:hAnsi="Times New Roman" w:cs="Times New Roman"/>
                <w:i/>
                <w:iCs/>
                <w:color w:val="000000"/>
                <w:szCs w:val="22"/>
              </w:rPr>
              <w:t>O</w:t>
            </w:r>
            <w:r w:rsidRPr="00082425">
              <w:rPr>
                <w:rFonts w:ascii="Times New Roman" w:eastAsia="宋体" w:hAnsi="Times New Roman" w:cs="Times New Roman"/>
                <w:color w:val="000000"/>
                <w:szCs w:val="22"/>
              </w:rPr>
              <w:t>-glycosides</w:t>
            </w:r>
          </w:p>
        </w:tc>
        <w:tc>
          <w:tcPr>
            <w:tcW w:w="1697" w:type="dxa"/>
          </w:tcPr>
          <w:p w14:paraId="7CD95E8C" w14:textId="20750ECE"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24</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22</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12</w:t>
            </w:r>
          </w:p>
        </w:tc>
      </w:tr>
      <w:tr w:rsidR="00BC5B85" w:rsidRPr="00082425" w14:paraId="3BAAD3E0" w14:textId="77777777" w:rsidTr="003B23FA">
        <w:trPr>
          <w:jc w:val="center"/>
        </w:trPr>
        <w:tc>
          <w:tcPr>
            <w:tcW w:w="517" w:type="dxa"/>
          </w:tcPr>
          <w:p w14:paraId="25E5271C" w14:textId="37AABC80"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5</w:t>
            </w:r>
          </w:p>
        </w:tc>
        <w:tc>
          <w:tcPr>
            <w:tcW w:w="1429" w:type="dxa"/>
          </w:tcPr>
          <w:p w14:paraId="631A36EF" w14:textId="44905DB2"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5.24</w:t>
            </w:r>
          </w:p>
        </w:tc>
        <w:tc>
          <w:tcPr>
            <w:tcW w:w="1598" w:type="dxa"/>
          </w:tcPr>
          <w:p w14:paraId="060290C9" w14:textId="00E6406B"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w:t>
            </w:r>
          </w:p>
        </w:tc>
        <w:tc>
          <w:tcPr>
            <w:tcW w:w="2693" w:type="dxa"/>
          </w:tcPr>
          <w:p w14:paraId="7FBA5FE3" w14:textId="28169944"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r w:rsidRPr="00082425">
              <w:rPr>
                <w:rFonts w:ascii="Times New Roman" w:eastAsia="宋体" w:hAnsi="Times New Roman" w:cs="Times New Roman"/>
                <w:color w:val="000000"/>
                <w:szCs w:val="22"/>
              </w:rPr>
              <w:t>/[M+HCOO]</w:t>
            </w:r>
            <w:r w:rsidRPr="00082425">
              <w:rPr>
                <w:rFonts w:ascii="Times New Roman" w:eastAsia="宋体" w:hAnsi="Times New Roman" w:cs="Times New Roman"/>
                <w:color w:val="000000"/>
                <w:szCs w:val="22"/>
                <w:vertAlign w:val="superscript"/>
              </w:rPr>
              <w:t>-</w:t>
            </w:r>
          </w:p>
        </w:tc>
        <w:tc>
          <w:tcPr>
            <w:tcW w:w="3589" w:type="dxa"/>
          </w:tcPr>
          <w:p w14:paraId="593DBA80" w14:textId="55E0410E" w:rsidR="00BC5B85" w:rsidRPr="00082425" w:rsidRDefault="00BC5B85" w:rsidP="00BC5B85">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大波斯菊</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芹菜素</w:t>
            </w:r>
            <w:r w:rsidRPr="00082425">
              <w:rPr>
                <w:rFonts w:ascii="Times New Roman" w:eastAsia="宋体" w:hAnsi="Times New Roman" w:cs="Times New Roman"/>
                <w:color w:val="000000"/>
                <w:szCs w:val="22"/>
              </w:rPr>
              <w:t>-7-O-</w:t>
            </w:r>
            <w:r w:rsidRPr="00082425">
              <w:rPr>
                <w:rFonts w:ascii="Times New Roman" w:eastAsia="宋体" w:hAnsi="Times New Roman" w:cs="Times New Roman"/>
                <w:color w:val="000000"/>
                <w:szCs w:val="22"/>
              </w:rPr>
              <w:t>葡萄糖苷</w:t>
            </w:r>
          </w:p>
          <w:p w14:paraId="2BFD8B57" w14:textId="070C12E9" w:rsidR="00BC5B85" w:rsidRPr="00082425" w:rsidRDefault="00BC5B85" w:rsidP="00BC5B85">
            <w:pPr>
              <w:spacing w:line="360" w:lineRule="exact"/>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Apigetrin/cosmosiin /apigenin 7-</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w:t>
            </w:r>
            <w:r w:rsidRPr="00082425">
              <w:rPr>
                <w:rFonts w:ascii="Times New Roman" w:eastAsia="宋体" w:hAnsi="Times New Roman" w:cs="Times New Roman"/>
                <w:color w:val="000000"/>
                <w:szCs w:val="22"/>
                <w:lang w:val="pt-BR"/>
              </w:rPr>
              <w:lastRenderedPageBreak/>
              <w:t>glucoside</w:t>
            </w:r>
          </w:p>
        </w:tc>
        <w:tc>
          <w:tcPr>
            <w:tcW w:w="2435" w:type="dxa"/>
          </w:tcPr>
          <w:p w14:paraId="049716C8" w14:textId="5CA1A41F"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lastRenderedPageBreak/>
              <w:t>异黄酮</w:t>
            </w:r>
            <w:r w:rsidRPr="00082425">
              <w:rPr>
                <w:rFonts w:ascii="Times New Roman" w:eastAsia="宋体" w:hAnsi="Times New Roman" w:cs="Times New Roman"/>
                <w:color w:val="000000"/>
                <w:szCs w:val="22"/>
              </w:rPr>
              <w:t>-7-</w:t>
            </w:r>
            <w:r w:rsidRPr="00082425">
              <w:rPr>
                <w:rFonts w:ascii="Times New Roman" w:eastAsia="宋体" w:hAnsi="Times New Roman" w:cs="Times New Roman"/>
                <w:color w:val="000000"/>
                <w:szCs w:val="22"/>
              </w:rPr>
              <w:t>氧糖苷类</w:t>
            </w:r>
          </w:p>
          <w:p w14:paraId="38D75675" w14:textId="13677F9B"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Flavonoid-7-</w:t>
            </w:r>
            <w:r w:rsidRPr="00082425">
              <w:rPr>
                <w:rFonts w:ascii="Times New Roman" w:eastAsia="宋体" w:hAnsi="Times New Roman" w:cs="Times New Roman"/>
                <w:i/>
                <w:iCs/>
                <w:color w:val="000000"/>
                <w:szCs w:val="22"/>
              </w:rPr>
              <w:t>O</w:t>
            </w: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lastRenderedPageBreak/>
              <w:t>glycosides</w:t>
            </w:r>
          </w:p>
        </w:tc>
        <w:tc>
          <w:tcPr>
            <w:tcW w:w="1697" w:type="dxa"/>
          </w:tcPr>
          <w:p w14:paraId="381C95C7" w14:textId="45C5BFFD"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lastRenderedPageBreak/>
              <w:t>C</w:t>
            </w:r>
            <w:r w:rsidRPr="00082425">
              <w:rPr>
                <w:rFonts w:ascii="Times New Roman" w:eastAsia="宋体" w:hAnsi="Times New Roman" w:cs="Times New Roman"/>
                <w:color w:val="000000"/>
                <w:szCs w:val="22"/>
                <w:vertAlign w:val="subscript"/>
              </w:rPr>
              <w:t>21</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20</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10</w:t>
            </w:r>
          </w:p>
        </w:tc>
      </w:tr>
      <w:tr w:rsidR="00BC5B85" w:rsidRPr="00082425" w14:paraId="5AC34A46" w14:textId="77777777" w:rsidTr="003B23FA">
        <w:trPr>
          <w:jc w:val="center"/>
        </w:trPr>
        <w:tc>
          <w:tcPr>
            <w:tcW w:w="517" w:type="dxa"/>
          </w:tcPr>
          <w:p w14:paraId="238F1763" w14:textId="3A707A2E"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6</w:t>
            </w:r>
          </w:p>
        </w:tc>
        <w:tc>
          <w:tcPr>
            <w:tcW w:w="1429" w:type="dxa"/>
          </w:tcPr>
          <w:p w14:paraId="4380F0BB" w14:textId="7167527F"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szCs w:val="22"/>
              </w:rPr>
              <w:t>5.38</w:t>
            </w:r>
          </w:p>
        </w:tc>
        <w:tc>
          <w:tcPr>
            <w:tcW w:w="1598" w:type="dxa"/>
          </w:tcPr>
          <w:p w14:paraId="6132F38C" w14:textId="2C383FF6"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1173.74</w:t>
            </w:r>
          </w:p>
        </w:tc>
        <w:tc>
          <w:tcPr>
            <w:tcW w:w="2693" w:type="dxa"/>
          </w:tcPr>
          <w:p w14:paraId="449FFF83" w14:textId="2B7922A6"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[M-H]</w:t>
            </w:r>
            <w:r w:rsidRPr="00082425">
              <w:rPr>
                <w:rFonts w:ascii="Times New Roman" w:eastAsia="宋体" w:hAnsi="Times New Roman" w:cs="Times New Roman"/>
                <w:color w:val="000000"/>
                <w:szCs w:val="22"/>
                <w:vertAlign w:val="superscript"/>
              </w:rPr>
              <w:t>-</w:t>
            </w:r>
          </w:p>
        </w:tc>
        <w:tc>
          <w:tcPr>
            <w:tcW w:w="3589" w:type="dxa"/>
          </w:tcPr>
          <w:p w14:paraId="2517D08B" w14:textId="2B9C5858"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橙皮</w:t>
            </w:r>
            <w:proofErr w:type="gramStart"/>
            <w:r w:rsidRPr="00082425">
              <w:rPr>
                <w:rFonts w:ascii="Times New Roman" w:eastAsia="宋体" w:hAnsi="Times New Roman" w:cs="Times New Roman"/>
                <w:color w:val="000000"/>
                <w:szCs w:val="22"/>
              </w:rPr>
              <w:t>苷</w:t>
            </w:r>
            <w:proofErr w:type="gramEnd"/>
          </w:p>
          <w:p w14:paraId="491A2CAA" w14:textId="385EBA24" w:rsidR="00BC5B85" w:rsidRPr="00082425" w:rsidRDefault="00BC5B85" w:rsidP="00BC5B85">
            <w:pPr>
              <w:spacing w:afterLines="50" w:after="156" w:line="360" w:lineRule="exact"/>
              <w:rPr>
                <w:rFonts w:ascii="Times New Roman" w:eastAsia="宋体" w:hAnsi="Times New Roman" w:cs="Times New Roman"/>
              </w:rPr>
            </w:pPr>
            <w:r w:rsidRPr="00082425">
              <w:rPr>
                <w:rFonts w:ascii="Times New Roman" w:eastAsia="宋体" w:hAnsi="Times New Roman" w:cs="Times New Roman"/>
                <w:color w:val="000000"/>
                <w:szCs w:val="22"/>
              </w:rPr>
              <w:t>Hesperedin</w:t>
            </w:r>
          </w:p>
        </w:tc>
        <w:tc>
          <w:tcPr>
            <w:tcW w:w="2435" w:type="dxa"/>
          </w:tcPr>
          <w:p w14:paraId="0C305B10" w14:textId="589E85E0" w:rsidR="00BC5B85" w:rsidRPr="00082425" w:rsidRDefault="00BC5B85" w:rsidP="00BC5B85">
            <w:pPr>
              <w:spacing w:afterLines="50" w:after="156"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异黄酮</w:t>
            </w:r>
            <w:r w:rsidRPr="00082425">
              <w:rPr>
                <w:rFonts w:ascii="Times New Roman" w:eastAsia="宋体" w:hAnsi="Times New Roman" w:cs="Times New Roman"/>
                <w:color w:val="000000"/>
                <w:szCs w:val="22"/>
              </w:rPr>
              <w:t>-7-</w:t>
            </w:r>
            <w:r w:rsidRPr="00082425">
              <w:rPr>
                <w:rFonts w:ascii="Times New Roman" w:eastAsia="宋体" w:hAnsi="Times New Roman" w:cs="Times New Roman"/>
                <w:color w:val="000000"/>
                <w:szCs w:val="22"/>
              </w:rPr>
              <w:t>氧糖苷类</w:t>
            </w:r>
            <w:r w:rsidRPr="00082425">
              <w:rPr>
                <w:rFonts w:ascii="Times New Roman" w:eastAsia="宋体" w:hAnsi="Times New Roman" w:cs="Times New Roman"/>
                <w:color w:val="000000"/>
                <w:szCs w:val="22"/>
              </w:rPr>
              <w:t>Flavonoid-7-</w:t>
            </w:r>
            <w:r w:rsidRPr="00082425">
              <w:rPr>
                <w:rFonts w:ascii="Times New Roman" w:eastAsia="宋体" w:hAnsi="Times New Roman" w:cs="Times New Roman"/>
                <w:i/>
                <w:iCs/>
                <w:color w:val="000000"/>
                <w:szCs w:val="22"/>
              </w:rPr>
              <w:t>O</w:t>
            </w:r>
            <w:r w:rsidRPr="00082425">
              <w:rPr>
                <w:rFonts w:ascii="Times New Roman" w:eastAsia="宋体" w:hAnsi="Times New Roman" w:cs="Times New Roman"/>
                <w:color w:val="000000"/>
                <w:szCs w:val="22"/>
              </w:rPr>
              <w:t>-glycosides</w:t>
            </w:r>
          </w:p>
        </w:tc>
        <w:tc>
          <w:tcPr>
            <w:tcW w:w="1697" w:type="dxa"/>
          </w:tcPr>
          <w:p w14:paraId="36223E78" w14:textId="4E632DDE"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28</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34</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15</w:t>
            </w:r>
          </w:p>
        </w:tc>
      </w:tr>
      <w:tr w:rsidR="00BC5B85" w:rsidRPr="00082425" w14:paraId="73F9EE11" w14:textId="77777777" w:rsidTr="003B23FA">
        <w:trPr>
          <w:jc w:val="center"/>
        </w:trPr>
        <w:tc>
          <w:tcPr>
            <w:tcW w:w="517" w:type="dxa"/>
          </w:tcPr>
          <w:p w14:paraId="554FA9B7" w14:textId="6DB736EA"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7</w:t>
            </w:r>
          </w:p>
        </w:tc>
        <w:tc>
          <w:tcPr>
            <w:tcW w:w="1429" w:type="dxa"/>
          </w:tcPr>
          <w:p w14:paraId="6C2EBAAD" w14:textId="4BEBA8DA" w:rsidR="00BC5B85" w:rsidRPr="00082425" w:rsidRDefault="00BC5B85" w:rsidP="00BC5B85">
            <w:pPr>
              <w:spacing w:line="360" w:lineRule="exact"/>
              <w:jc w:val="center"/>
              <w:rPr>
                <w:rFonts w:ascii="Times New Roman" w:eastAsia="宋体" w:hAnsi="Times New Roman" w:cs="Times New Roman"/>
                <w:color w:val="000000"/>
                <w:szCs w:val="22"/>
                <w:highlight w:val="yellow"/>
              </w:rPr>
            </w:pPr>
            <w:r w:rsidRPr="00082425">
              <w:rPr>
                <w:rFonts w:ascii="Times New Roman" w:eastAsia="宋体" w:hAnsi="Times New Roman" w:cs="Times New Roman"/>
                <w:color w:val="000000"/>
                <w:szCs w:val="22"/>
              </w:rPr>
              <w:t>6.25</w:t>
            </w:r>
          </w:p>
        </w:tc>
        <w:tc>
          <w:tcPr>
            <w:tcW w:w="1598" w:type="dxa"/>
          </w:tcPr>
          <w:p w14:paraId="57BC7FF3" w14:textId="1AE57CEB"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2.53</w:t>
            </w:r>
          </w:p>
        </w:tc>
        <w:tc>
          <w:tcPr>
            <w:tcW w:w="2693" w:type="dxa"/>
          </w:tcPr>
          <w:p w14:paraId="758565EA" w14:textId="2AB991C2"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Pr>
          <w:p w14:paraId="2C197BCC" w14:textId="77777777"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漆黃素</w:t>
            </w: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非</w:t>
            </w:r>
            <w:proofErr w:type="gramStart"/>
            <w:r w:rsidRPr="00082425">
              <w:rPr>
                <w:rFonts w:ascii="Times New Roman" w:eastAsia="宋体" w:hAnsi="Times New Roman" w:cs="Times New Roman"/>
                <w:color w:val="000000"/>
                <w:szCs w:val="22"/>
              </w:rPr>
              <w:t>瑟</w:t>
            </w:r>
            <w:proofErr w:type="gramEnd"/>
            <w:r w:rsidRPr="00082425">
              <w:rPr>
                <w:rFonts w:ascii="Times New Roman" w:eastAsia="宋体" w:hAnsi="Times New Roman" w:cs="Times New Roman"/>
                <w:color w:val="000000"/>
                <w:szCs w:val="22"/>
              </w:rPr>
              <w:t>素</w:t>
            </w: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非</w:t>
            </w:r>
            <w:proofErr w:type="gramStart"/>
            <w:r w:rsidRPr="00082425">
              <w:rPr>
                <w:rFonts w:ascii="Times New Roman" w:eastAsia="宋体" w:hAnsi="Times New Roman" w:cs="Times New Roman"/>
                <w:color w:val="000000"/>
                <w:szCs w:val="22"/>
              </w:rPr>
              <w:t>瑟</w:t>
            </w:r>
            <w:proofErr w:type="gramEnd"/>
            <w:r w:rsidRPr="00082425">
              <w:rPr>
                <w:rFonts w:ascii="Times New Roman" w:eastAsia="宋体" w:hAnsi="Times New Roman" w:cs="Times New Roman"/>
                <w:color w:val="000000"/>
                <w:szCs w:val="22"/>
              </w:rPr>
              <w:t>酮</w:t>
            </w:r>
          </w:p>
          <w:p w14:paraId="19A3BDA4" w14:textId="68AEFD0D"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Fisetin</w:t>
            </w:r>
          </w:p>
        </w:tc>
        <w:tc>
          <w:tcPr>
            <w:tcW w:w="2435" w:type="dxa"/>
          </w:tcPr>
          <w:p w14:paraId="1C2EC18D" w14:textId="77777777"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黄酮醇类</w:t>
            </w:r>
          </w:p>
          <w:p w14:paraId="39AF0B54" w14:textId="48C4124B" w:rsidR="00BC5B85" w:rsidRPr="00082425" w:rsidRDefault="00BC5B85" w:rsidP="00BC5B85">
            <w:pPr>
              <w:spacing w:afterLines="50" w:after="156"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Flavonols</w:t>
            </w:r>
          </w:p>
        </w:tc>
        <w:tc>
          <w:tcPr>
            <w:tcW w:w="1697" w:type="dxa"/>
          </w:tcPr>
          <w:p w14:paraId="0B526BB0" w14:textId="24FE9972"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15</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10</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6</w:t>
            </w:r>
          </w:p>
        </w:tc>
      </w:tr>
      <w:tr w:rsidR="00BC5B85" w:rsidRPr="00082425" w14:paraId="6EAB1F10" w14:textId="77777777" w:rsidTr="003B23FA">
        <w:trPr>
          <w:jc w:val="center"/>
        </w:trPr>
        <w:tc>
          <w:tcPr>
            <w:tcW w:w="517" w:type="dxa"/>
          </w:tcPr>
          <w:p w14:paraId="1105409D" w14:textId="5DAA017C"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8</w:t>
            </w:r>
          </w:p>
        </w:tc>
        <w:tc>
          <w:tcPr>
            <w:tcW w:w="1429" w:type="dxa"/>
          </w:tcPr>
          <w:p w14:paraId="118C9111" w14:textId="23D4D45D"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6.5</w:t>
            </w:r>
          </w:p>
        </w:tc>
        <w:tc>
          <w:tcPr>
            <w:tcW w:w="1598" w:type="dxa"/>
          </w:tcPr>
          <w:p w14:paraId="3BC3C07D" w14:textId="296E8906"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w:t>
            </w:r>
          </w:p>
        </w:tc>
        <w:tc>
          <w:tcPr>
            <w:tcW w:w="2693" w:type="dxa"/>
          </w:tcPr>
          <w:p w14:paraId="58A5FE55" w14:textId="7AB6395E"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Pr>
          <w:p w14:paraId="3F207DE5" w14:textId="6938A921" w:rsidR="00BC5B85" w:rsidRPr="00082425" w:rsidRDefault="00BC5B85" w:rsidP="00BC5B85">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lang w:val="pt-BR"/>
              </w:rPr>
              <w:t>四氢咔唑</w:t>
            </w:r>
            <w:proofErr w:type="gramStart"/>
            <w:r w:rsidRPr="00082425">
              <w:rPr>
                <w:rFonts w:ascii="Times New Roman" w:eastAsia="宋体" w:hAnsi="Times New Roman" w:cs="Times New Roman"/>
                <w:color w:val="000000"/>
                <w:szCs w:val="22"/>
                <w:lang w:val="pt-BR"/>
              </w:rPr>
              <w:t>酮</w:t>
            </w:r>
            <w:proofErr w:type="gramEnd"/>
          </w:p>
          <w:p w14:paraId="731AF5D1" w14:textId="04A4BE2D" w:rsidR="00BC5B85" w:rsidRPr="00082425" w:rsidRDefault="00BC5B85" w:rsidP="00BC5B85">
            <w:pPr>
              <w:spacing w:afterLines="50" w:after="156" w:line="360" w:lineRule="exact"/>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2,3-dihydro-1H-carbazol-4(9H)-one</w:t>
            </w:r>
          </w:p>
        </w:tc>
        <w:tc>
          <w:tcPr>
            <w:tcW w:w="2435" w:type="dxa"/>
          </w:tcPr>
          <w:p w14:paraId="4FE4B986" w14:textId="57ABA028"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咔唑类</w:t>
            </w:r>
          </w:p>
          <w:p w14:paraId="6C554530" w14:textId="13557135"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Carbazoles</w:t>
            </w:r>
          </w:p>
        </w:tc>
        <w:tc>
          <w:tcPr>
            <w:tcW w:w="1697" w:type="dxa"/>
          </w:tcPr>
          <w:p w14:paraId="1E4C42CB" w14:textId="4DE37923"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12</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11</w:t>
            </w:r>
            <w:r w:rsidRPr="00082425">
              <w:rPr>
                <w:rFonts w:ascii="Times New Roman" w:eastAsia="宋体" w:hAnsi="Times New Roman" w:cs="Times New Roman"/>
                <w:color w:val="000000"/>
                <w:szCs w:val="22"/>
              </w:rPr>
              <w:t>NO</w:t>
            </w:r>
          </w:p>
        </w:tc>
      </w:tr>
      <w:tr w:rsidR="00BC5B85" w:rsidRPr="00082425" w14:paraId="57088615" w14:textId="77777777" w:rsidTr="003B23FA">
        <w:trPr>
          <w:jc w:val="center"/>
        </w:trPr>
        <w:tc>
          <w:tcPr>
            <w:tcW w:w="517" w:type="dxa"/>
          </w:tcPr>
          <w:p w14:paraId="35D3A74B" w14:textId="52CF0E26"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9</w:t>
            </w:r>
          </w:p>
        </w:tc>
        <w:tc>
          <w:tcPr>
            <w:tcW w:w="1429" w:type="dxa"/>
          </w:tcPr>
          <w:p w14:paraId="13C5B31A" w14:textId="6C5EA8E9"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rPr>
              <w:t>6.81</w:t>
            </w:r>
          </w:p>
        </w:tc>
        <w:tc>
          <w:tcPr>
            <w:tcW w:w="1598" w:type="dxa"/>
          </w:tcPr>
          <w:p w14:paraId="53FA6E22" w14:textId="518C78BB"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29.60</w:t>
            </w:r>
          </w:p>
        </w:tc>
        <w:tc>
          <w:tcPr>
            <w:tcW w:w="2693" w:type="dxa"/>
          </w:tcPr>
          <w:p w14:paraId="2274B188" w14:textId="0682DC13"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r w:rsidRPr="00082425">
              <w:rPr>
                <w:rFonts w:ascii="Times New Roman" w:eastAsia="宋体" w:hAnsi="Times New Roman" w:cs="Times New Roman"/>
                <w:color w:val="000000"/>
                <w:szCs w:val="22"/>
              </w:rPr>
              <w:t>/[M-H]</w:t>
            </w:r>
            <w:r w:rsidRPr="00082425">
              <w:rPr>
                <w:rFonts w:ascii="Times New Roman" w:eastAsia="宋体" w:hAnsi="Times New Roman" w:cs="Times New Roman"/>
                <w:color w:val="000000"/>
                <w:szCs w:val="22"/>
                <w:vertAlign w:val="superscript"/>
              </w:rPr>
              <w:t>-</w:t>
            </w:r>
          </w:p>
        </w:tc>
        <w:tc>
          <w:tcPr>
            <w:tcW w:w="3589" w:type="dxa"/>
          </w:tcPr>
          <w:p w14:paraId="654167E4" w14:textId="77777777"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大豆素</w:t>
            </w:r>
          </w:p>
          <w:p w14:paraId="71CB7403" w14:textId="193B8F5D" w:rsidR="00BC5B85" w:rsidRPr="00082425" w:rsidRDefault="00BC5B85" w:rsidP="00BC5B85">
            <w:pPr>
              <w:spacing w:afterLines="50" w:after="156" w:line="360" w:lineRule="exact"/>
              <w:rPr>
                <w:rFonts w:ascii="Times New Roman" w:eastAsia="宋体" w:hAnsi="Times New Roman" w:cs="Times New Roman"/>
              </w:rPr>
            </w:pPr>
            <w:r w:rsidRPr="00082425">
              <w:rPr>
                <w:rFonts w:ascii="Times New Roman" w:eastAsia="宋体" w:hAnsi="Times New Roman" w:cs="Times New Roman"/>
                <w:color w:val="000000"/>
                <w:szCs w:val="22"/>
              </w:rPr>
              <w:t>Daidzein</w:t>
            </w:r>
          </w:p>
        </w:tc>
        <w:tc>
          <w:tcPr>
            <w:tcW w:w="2435" w:type="dxa"/>
          </w:tcPr>
          <w:p w14:paraId="1CF7AE17" w14:textId="77777777"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类黄酮类</w:t>
            </w:r>
          </w:p>
          <w:p w14:paraId="252E8D7A" w14:textId="64DE70E2"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Isoflavones</w:t>
            </w:r>
          </w:p>
        </w:tc>
        <w:tc>
          <w:tcPr>
            <w:tcW w:w="1697" w:type="dxa"/>
          </w:tcPr>
          <w:p w14:paraId="05F65ADD" w14:textId="449D87B6"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15</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10</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4</w:t>
            </w:r>
          </w:p>
        </w:tc>
      </w:tr>
      <w:tr w:rsidR="00BC5B85" w:rsidRPr="00082425" w14:paraId="54FE6A38" w14:textId="77777777" w:rsidTr="003B23FA">
        <w:trPr>
          <w:jc w:val="center"/>
        </w:trPr>
        <w:tc>
          <w:tcPr>
            <w:tcW w:w="517" w:type="dxa"/>
          </w:tcPr>
          <w:p w14:paraId="7D0CBD80" w14:textId="32C36BE7"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10</w:t>
            </w:r>
          </w:p>
        </w:tc>
        <w:tc>
          <w:tcPr>
            <w:tcW w:w="1429" w:type="dxa"/>
          </w:tcPr>
          <w:p w14:paraId="6CCECA96" w14:textId="5A93D8F8"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szCs w:val="22"/>
              </w:rPr>
              <w:t>8.02</w:t>
            </w:r>
          </w:p>
        </w:tc>
        <w:tc>
          <w:tcPr>
            <w:tcW w:w="1598" w:type="dxa"/>
          </w:tcPr>
          <w:p w14:paraId="7FBD2D12" w14:textId="50ABD9D2"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48.97</w:t>
            </w:r>
          </w:p>
        </w:tc>
        <w:tc>
          <w:tcPr>
            <w:tcW w:w="2693" w:type="dxa"/>
          </w:tcPr>
          <w:p w14:paraId="543EDCB2" w14:textId="495FEABD"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Pr>
          <w:p w14:paraId="6A43C31D" w14:textId="0E84189D"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染料木素</w:t>
            </w: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金雀异黄酮</w:t>
            </w:r>
          </w:p>
          <w:p w14:paraId="0AA56A6A" w14:textId="504460D6" w:rsidR="00BC5B85" w:rsidRPr="00082425" w:rsidRDefault="00BC5B85" w:rsidP="00BC5B85">
            <w:pPr>
              <w:spacing w:afterLines="50" w:after="156" w:line="360" w:lineRule="exact"/>
              <w:rPr>
                <w:rFonts w:ascii="Times New Roman" w:eastAsia="宋体" w:hAnsi="Times New Roman" w:cs="Times New Roman"/>
              </w:rPr>
            </w:pPr>
            <w:r w:rsidRPr="00082425">
              <w:rPr>
                <w:rFonts w:ascii="Times New Roman" w:eastAsia="宋体" w:hAnsi="Times New Roman" w:cs="Times New Roman"/>
                <w:color w:val="000000"/>
                <w:szCs w:val="22"/>
              </w:rPr>
              <w:t>Genistein</w:t>
            </w:r>
          </w:p>
        </w:tc>
        <w:tc>
          <w:tcPr>
            <w:tcW w:w="2435" w:type="dxa"/>
          </w:tcPr>
          <w:p w14:paraId="3A29F1F5" w14:textId="17874EAF"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异黄酮类</w:t>
            </w:r>
          </w:p>
          <w:p w14:paraId="06F01E82" w14:textId="3A85CD83" w:rsidR="00BC5B85" w:rsidRPr="00082425" w:rsidRDefault="00BC5B85" w:rsidP="00BC5B85">
            <w:pPr>
              <w:spacing w:afterLines="50" w:after="156"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Isoflavones</w:t>
            </w:r>
          </w:p>
        </w:tc>
        <w:tc>
          <w:tcPr>
            <w:tcW w:w="1697" w:type="dxa"/>
          </w:tcPr>
          <w:p w14:paraId="44CF04F8" w14:textId="7DF4C09C"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15</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10</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5</w:t>
            </w:r>
          </w:p>
        </w:tc>
      </w:tr>
      <w:tr w:rsidR="00BC5B85" w:rsidRPr="00082425" w14:paraId="701E2815" w14:textId="77777777" w:rsidTr="003B23FA">
        <w:trPr>
          <w:jc w:val="center"/>
        </w:trPr>
        <w:tc>
          <w:tcPr>
            <w:tcW w:w="517" w:type="dxa"/>
          </w:tcPr>
          <w:p w14:paraId="3F3DD52A" w14:textId="717265C9"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11</w:t>
            </w:r>
          </w:p>
        </w:tc>
        <w:tc>
          <w:tcPr>
            <w:tcW w:w="1429" w:type="dxa"/>
          </w:tcPr>
          <w:p w14:paraId="42277889" w14:textId="74F7988D"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szCs w:val="22"/>
              </w:rPr>
              <w:t>10.03</w:t>
            </w:r>
          </w:p>
        </w:tc>
        <w:tc>
          <w:tcPr>
            <w:tcW w:w="1598" w:type="dxa"/>
          </w:tcPr>
          <w:p w14:paraId="4EF8B387" w14:textId="2DE6D2BA"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17.94</w:t>
            </w:r>
          </w:p>
        </w:tc>
        <w:tc>
          <w:tcPr>
            <w:tcW w:w="2693" w:type="dxa"/>
          </w:tcPr>
          <w:p w14:paraId="7F47F629" w14:textId="177718A2"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Pr>
          <w:p w14:paraId="78BEB906" w14:textId="3EC941A8"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补骨脂二氢黄酮</w:t>
            </w: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补</w:t>
            </w:r>
            <w:proofErr w:type="gramStart"/>
            <w:r w:rsidRPr="00082425">
              <w:rPr>
                <w:rFonts w:ascii="Times New Roman" w:eastAsia="宋体" w:hAnsi="Times New Roman" w:cs="Times New Roman"/>
                <w:color w:val="000000"/>
                <w:szCs w:val="22"/>
              </w:rPr>
              <w:t>骨脂甲素</w:t>
            </w:r>
            <w:proofErr w:type="gramEnd"/>
          </w:p>
          <w:p w14:paraId="06BB6D4C" w14:textId="5048179D" w:rsidR="00BC5B85" w:rsidRPr="00082425" w:rsidRDefault="00BC5B85" w:rsidP="00BC5B85">
            <w:pPr>
              <w:spacing w:line="360" w:lineRule="exact"/>
              <w:rPr>
                <w:rFonts w:ascii="Times New Roman" w:eastAsia="宋体" w:hAnsi="Times New Roman" w:cs="Times New Roman"/>
              </w:rPr>
            </w:pPr>
            <w:r w:rsidRPr="00082425">
              <w:rPr>
                <w:rFonts w:ascii="Times New Roman" w:eastAsia="宋体" w:hAnsi="Times New Roman" w:cs="Times New Roman"/>
                <w:color w:val="000000"/>
                <w:szCs w:val="22"/>
              </w:rPr>
              <w:t>Bavachin</w:t>
            </w:r>
          </w:p>
        </w:tc>
        <w:tc>
          <w:tcPr>
            <w:tcW w:w="2435" w:type="dxa"/>
          </w:tcPr>
          <w:p w14:paraId="0B064603" w14:textId="58301239"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6-</w:t>
            </w:r>
            <w:r w:rsidRPr="00082425">
              <w:rPr>
                <w:rFonts w:ascii="Times New Roman" w:eastAsia="宋体" w:hAnsi="Times New Roman" w:cs="Times New Roman"/>
                <w:color w:val="000000"/>
                <w:szCs w:val="22"/>
              </w:rPr>
              <w:t>二甲酰黄酮类</w:t>
            </w:r>
          </w:p>
          <w:p w14:paraId="5F5CAD63" w14:textId="33F9ABDB"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6-Prenylated flavanones</w:t>
            </w:r>
          </w:p>
        </w:tc>
        <w:tc>
          <w:tcPr>
            <w:tcW w:w="1697" w:type="dxa"/>
          </w:tcPr>
          <w:p w14:paraId="01749253" w14:textId="318E1D81" w:rsidR="00BC5B85" w:rsidRPr="00082425" w:rsidRDefault="00BC5B85" w:rsidP="00BC5B85">
            <w:pPr>
              <w:spacing w:line="360" w:lineRule="exact"/>
              <w:jc w:val="center"/>
              <w:rPr>
                <w:rFonts w:ascii="Times New Roman" w:eastAsia="宋体" w:hAnsi="Times New Roman" w:cs="Times New Roman"/>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20</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20</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4</w:t>
            </w:r>
          </w:p>
        </w:tc>
      </w:tr>
      <w:tr w:rsidR="00BC5B85" w:rsidRPr="00082425" w14:paraId="4DE63964" w14:textId="77777777" w:rsidTr="003B23FA">
        <w:trPr>
          <w:jc w:val="center"/>
        </w:trPr>
        <w:tc>
          <w:tcPr>
            <w:tcW w:w="517" w:type="dxa"/>
            <w:tcBorders>
              <w:bottom w:val="single" w:sz="4" w:space="0" w:color="auto"/>
            </w:tcBorders>
          </w:tcPr>
          <w:p w14:paraId="7A540B64" w14:textId="68D464B4"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12</w:t>
            </w:r>
          </w:p>
        </w:tc>
        <w:tc>
          <w:tcPr>
            <w:tcW w:w="1429" w:type="dxa"/>
            <w:tcBorders>
              <w:bottom w:val="single" w:sz="4" w:space="0" w:color="auto"/>
            </w:tcBorders>
          </w:tcPr>
          <w:p w14:paraId="0545E92D" w14:textId="37282BF3" w:rsidR="00BC5B85" w:rsidRPr="00082425" w:rsidRDefault="00BC5B85" w:rsidP="00BC5B85">
            <w:pPr>
              <w:spacing w:line="360" w:lineRule="exact"/>
              <w:jc w:val="center"/>
              <w:rPr>
                <w:rFonts w:ascii="Times New Roman" w:eastAsia="宋体" w:hAnsi="Times New Roman" w:cs="Times New Roman"/>
                <w:szCs w:val="22"/>
              </w:rPr>
            </w:pPr>
            <w:r w:rsidRPr="00082425">
              <w:rPr>
                <w:rFonts w:ascii="Times New Roman" w:eastAsia="宋体" w:hAnsi="Times New Roman" w:cs="Times New Roman"/>
                <w:szCs w:val="22"/>
              </w:rPr>
              <w:t>10.50</w:t>
            </w:r>
          </w:p>
        </w:tc>
        <w:tc>
          <w:tcPr>
            <w:tcW w:w="1598" w:type="dxa"/>
            <w:tcBorders>
              <w:bottom w:val="single" w:sz="4" w:space="0" w:color="auto"/>
            </w:tcBorders>
          </w:tcPr>
          <w:p w14:paraId="660F21E9" w14:textId="246C32C9" w:rsidR="00BC5B85" w:rsidRPr="00082425" w:rsidRDefault="00BC5B85" w:rsidP="00BC5B85">
            <w:pPr>
              <w:spacing w:line="360" w:lineRule="exact"/>
              <w:jc w:val="center"/>
              <w:rPr>
                <w:rFonts w:ascii="Times New Roman" w:eastAsia="宋体" w:hAnsi="Times New Roman" w:cs="Times New Roman"/>
                <w:color w:val="000000"/>
                <w:szCs w:val="22"/>
              </w:rPr>
            </w:pPr>
            <w:r>
              <w:rPr>
                <w:rFonts w:ascii="Times New Roman" w:eastAsia="宋体" w:hAnsi="Times New Roman" w:cs="Times New Roman" w:hint="eastAsia"/>
                <w:color w:val="000000"/>
                <w:szCs w:val="22"/>
              </w:rPr>
              <w:t>2.03</w:t>
            </w:r>
          </w:p>
        </w:tc>
        <w:tc>
          <w:tcPr>
            <w:tcW w:w="2693" w:type="dxa"/>
            <w:tcBorders>
              <w:bottom w:val="single" w:sz="4" w:space="0" w:color="auto"/>
            </w:tcBorders>
          </w:tcPr>
          <w:p w14:paraId="6D94DB2E" w14:textId="1B2AEBF6"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[M+</w:t>
            </w:r>
            <w:proofErr w:type="gramStart"/>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perscript"/>
              </w:rPr>
              <w:t>+</w:t>
            </w:r>
            <w:proofErr w:type="gramEnd"/>
          </w:p>
        </w:tc>
        <w:tc>
          <w:tcPr>
            <w:tcW w:w="3589" w:type="dxa"/>
            <w:tcBorders>
              <w:bottom w:val="single" w:sz="4" w:space="0" w:color="auto"/>
            </w:tcBorders>
          </w:tcPr>
          <w:p w14:paraId="58AAF84F" w14:textId="77777777"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补骨脂异黄酮</w:t>
            </w:r>
            <w:r w:rsidRPr="00082425">
              <w:rPr>
                <w:rFonts w:ascii="Times New Roman" w:eastAsia="宋体" w:hAnsi="Times New Roman" w:cs="Times New Roman"/>
                <w:color w:val="000000"/>
                <w:szCs w:val="22"/>
              </w:rPr>
              <w:t>/</w:t>
            </w:r>
            <w:r w:rsidRPr="00082425">
              <w:rPr>
                <w:rFonts w:ascii="Times New Roman" w:eastAsia="宋体" w:hAnsi="Times New Roman" w:cs="Times New Roman"/>
                <w:color w:val="000000"/>
                <w:szCs w:val="22"/>
              </w:rPr>
              <w:t>补骨脂宁</w:t>
            </w:r>
          </w:p>
          <w:p w14:paraId="02A9775D" w14:textId="3204D487" w:rsidR="00BC5B85" w:rsidRPr="00082425" w:rsidRDefault="00BC5B85" w:rsidP="00BC5B85">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Corylin</w:t>
            </w:r>
          </w:p>
        </w:tc>
        <w:tc>
          <w:tcPr>
            <w:tcW w:w="2435" w:type="dxa"/>
            <w:tcBorders>
              <w:bottom w:val="single" w:sz="4" w:space="0" w:color="auto"/>
            </w:tcBorders>
          </w:tcPr>
          <w:p w14:paraId="7E5A131C" w14:textId="77777777" w:rsidR="00BC5B85" w:rsidRPr="00082425" w:rsidRDefault="00BC5B85" w:rsidP="00BC5B85">
            <w:pPr>
              <w:spacing w:line="360" w:lineRule="exact"/>
              <w:jc w:val="center"/>
              <w:rPr>
                <w:rFonts w:ascii="Times New Roman" w:eastAsia="宋体" w:hAnsi="Times New Roman" w:cs="Times New Roman"/>
                <w:color w:val="000000"/>
                <w:szCs w:val="22"/>
              </w:rPr>
            </w:pPr>
            <w:proofErr w:type="gramStart"/>
            <w:r w:rsidRPr="00082425">
              <w:rPr>
                <w:rFonts w:ascii="Times New Roman" w:eastAsia="宋体" w:hAnsi="Times New Roman" w:cs="Times New Roman"/>
                <w:color w:val="000000"/>
                <w:szCs w:val="22"/>
              </w:rPr>
              <w:t>吡喃</w:t>
            </w:r>
            <w:proofErr w:type="gramEnd"/>
            <w:r w:rsidRPr="00082425">
              <w:rPr>
                <w:rFonts w:ascii="Times New Roman" w:eastAsia="宋体" w:hAnsi="Times New Roman" w:cs="Times New Roman"/>
                <w:color w:val="000000"/>
                <w:szCs w:val="22"/>
              </w:rPr>
              <w:t>异黄酮类</w:t>
            </w:r>
          </w:p>
          <w:p w14:paraId="3A54E3CE" w14:textId="609C11BB"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Pyranoisoflavonoids</w:t>
            </w:r>
          </w:p>
        </w:tc>
        <w:tc>
          <w:tcPr>
            <w:tcW w:w="1697" w:type="dxa"/>
            <w:tcBorders>
              <w:bottom w:val="single" w:sz="4" w:space="0" w:color="auto"/>
            </w:tcBorders>
          </w:tcPr>
          <w:p w14:paraId="65B43871" w14:textId="5E6116D0" w:rsidR="00BC5B85" w:rsidRPr="00082425" w:rsidRDefault="00BC5B85" w:rsidP="00BC5B85">
            <w:pPr>
              <w:spacing w:line="360" w:lineRule="exact"/>
              <w:jc w:val="center"/>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C</w:t>
            </w:r>
            <w:r w:rsidRPr="00082425">
              <w:rPr>
                <w:rFonts w:ascii="Times New Roman" w:eastAsia="宋体" w:hAnsi="Times New Roman" w:cs="Times New Roman"/>
                <w:color w:val="000000"/>
                <w:szCs w:val="22"/>
                <w:vertAlign w:val="subscript"/>
              </w:rPr>
              <w:t>20</w:t>
            </w:r>
            <w:r w:rsidRPr="00082425">
              <w:rPr>
                <w:rFonts w:ascii="Times New Roman" w:eastAsia="宋体" w:hAnsi="Times New Roman" w:cs="Times New Roman"/>
                <w:color w:val="000000"/>
                <w:szCs w:val="22"/>
              </w:rPr>
              <w:t>H</w:t>
            </w:r>
            <w:r w:rsidRPr="00082425">
              <w:rPr>
                <w:rFonts w:ascii="Times New Roman" w:eastAsia="宋体" w:hAnsi="Times New Roman" w:cs="Times New Roman"/>
                <w:color w:val="000000"/>
                <w:szCs w:val="22"/>
                <w:vertAlign w:val="subscript"/>
              </w:rPr>
              <w:t>16</w:t>
            </w:r>
            <w:r w:rsidRPr="00082425">
              <w:rPr>
                <w:rFonts w:ascii="Times New Roman" w:eastAsia="宋体" w:hAnsi="Times New Roman" w:cs="Times New Roman"/>
                <w:color w:val="000000"/>
                <w:szCs w:val="22"/>
              </w:rPr>
              <w:t>O</w:t>
            </w:r>
            <w:r w:rsidRPr="00082425">
              <w:rPr>
                <w:rFonts w:ascii="Times New Roman" w:eastAsia="宋体" w:hAnsi="Times New Roman" w:cs="Times New Roman"/>
                <w:color w:val="000000"/>
                <w:szCs w:val="22"/>
                <w:vertAlign w:val="subscript"/>
              </w:rPr>
              <w:t>4</w:t>
            </w:r>
          </w:p>
        </w:tc>
      </w:tr>
    </w:tbl>
    <w:p w14:paraId="7F237687" w14:textId="09A92379" w:rsidR="00144B23" w:rsidRPr="00082425" w:rsidRDefault="00144B23" w:rsidP="009E12FD">
      <w:pPr>
        <w:rPr>
          <w:rFonts w:ascii="Times New Roman" w:eastAsia="宋体" w:hAnsi="Times New Roman" w:cs="Times New Roman"/>
        </w:rPr>
      </w:pPr>
    </w:p>
    <w:p w14:paraId="2E9BC432" w14:textId="77777777" w:rsidR="00144B23" w:rsidRPr="00082425" w:rsidRDefault="00144B23" w:rsidP="009E12FD">
      <w:pPr>
        <w:rPr>
          <w:rFonts w:ascii="Times New Roman" w:eastAsia="宋体" w:hAnsi="Times New Roman" w:cs="Times New Roman"/>
        </w:rPr>
        <w:sectPr w:rsidR="00144B23" w:rsidRPr="00082425" w:rsidSect="00A54DFE">
          <w:pgSz w:w="16838" w:h="11906" w:orient="landscape"/>
          <w:pgMar w:top="1800" w:right="1440" w:bottom="1800" w:left="1440" w:header="851" w:footer="992" w:gutter="0"/>
          <w:cols w:space="425"/>
          <w:docGrid w:type="lines" w:linePitch="312"/>
        </w:sectPr>
      </w:pPr>
    </w:p>
    <w:p w14:paraId="2E839A3D" w14:textId="3970F011" w:rsidR="009B138C" w:rsidRPr="009B138C" w:rsidRDefault="009B138C" w:rsidP="009B138C">
      <w:pPr>
        <w:pStyle w:val="ListParagraph"/>
        <w:numPr>
          <w:ilvl w:val="0"/>
          <w:numId w:val="11"/>
        </w:numPr>
        <w:spacing w:line="360" w:lineRule="auto"/>
        <w:jc w:val="both"/>
        <w:rPr>
          <w:rFonts w:ascii="Times New Roman" w:eastAsia="宋体" w:hAnsi="Times New Roman" w:cs="Times New Roman"/>
          <w:b/>
          <w:bCs/>
        </w:rPr>
      </w:pPr>
      <w:r w:rsidRPr="009B138C">
        <w:rPr>
          <w:rFonts w:ascii="Times New Roman" w:eastAsia="宋体" w:hAnsi="Times New Roman" w:cs="Times New Roman"/>
          <w:b/>
          <w:bCs/>
        </w:rPr>
        <w:lastRenderedPageBreak/>
        <w:t>DIGESTIVE CARE</w:t>
      </w:r>
      <w:r>
        <w:rPr>
          <w:rFonts w:ascii="Times New Roman" w:eastAsia="宋体" w:hAnsi="Times New Roman" w:cs="Times New Roman" w:hint="eastAsia"/>
          <w:b/>
          <w:bCs/>
        </w:rPr>
        <w:t>的总多糖、总蛋白、总多酚和总黄酮含量测定</w:t>
      </w:r>
    </w:p>
    <w:p w14:paraId="1ECABFA5" w14:textId="2160A6BB" w:rsidR="001E2CAE" w:rsidRDefault="000D5223" w:rsidP="001E2CAE">
      <w:pPr>
        <w:spacing w:after="120"/>
        <w:rPr>
          <w:rFonts w:ascii="Times New Roman" w:eastAsia="宋体" w:hAnsi="Times New Roman" w:cs="Times New Roman"/>
        </w:rPr>
      </w:pPr>
      <w:r>
        <w:rPr>
          <w:rFonts w:ascii="Times New Roman" w:eastAsia="宋体" w:hAnsi="Times New Roman" w:cs="Times New Roman"/>
          <w:b/>
          <w:bCs/>
          <w:noProof/>
        </w:rPr>
        <w:drawing>
          <wp:anchor distT="0" distB="0" distL="114300" distR="114300" simplePos="0" relativeHeight="251669504" behindDoc="0" locked="0" layoutInCell="1" allowOverlap="1" wp14:anchorId="6D01CDBE" wp14:editId="79572B53">
            <wp:simplePos x="0" y="0"/>
            <wp:positionH relativeFrom="margin">
              <wp:posOffset>389890</wp:posOffset>
            </wp:positionH>
            <wp:positionV relativeFrom="paragraph">
              <wp:posOffset>607060</wp:posOffset>
            </wp:positionV>
            <wp:extent cx="4051300" cy="2734310"/>
            <wp:effectExtent l="0" t="0" r="6350" b="8890"/>
            <wp:wrapTopAndBottom/>
            <wp:docPr id="2631612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1300" cy="2734310"/>
                    </a:xfrm>
                    <a:prstGeom prst="rect">
                      <a:avLst/>
                    </a:prstGeom>
                    <a:noFill/>
                  </pic:spPr>
                </pic:pic>
              </a:graphicData>
            </a:graphic>
            <wp14:sizeRelH relativeFrom="margin">
              <wp14:pctWidth>0</wp14:pctWidth>
            </wp14:sizeRelH>
            <wp14:sizeRelV relativeFrom="margin">
              <wp14:pctHeight>0</wp14:pctHeight>
            </wp14:sizeRelV>
          </wp:anchor>
        </w:drawing>
      </w:r>
      <w:r w:rsidR="00727AD2">
        <w:rPr>
          <w:rFonts w:ascii="Times New Roman" w:eastAsia="宋体" w:hAnsi="Times New Roman" w:cs="Times New Roman" w:hint="eastAsia"/>
        </w:rPr>
        <w:t>葡萄糖</w:t>
      </w:r>
      <w:r w:rsidR="001E2CAE" w:rsidRPr="001E2CAE">
        <w:rPr>
          <w:rFonts w:ascii="Times New Roman" w:eastAsia="宋体" w:hAnsi="Times New Roman" w:cs="Times New Roman"/>
        </w:rPr>
        <w:t>标准曲线在</w:t>
      </w:r>
      <w:r w:rsidR="001E2CAE" w:rsidRPr="001E2CAE">
        <w:rPr>
          <w:rFonts w:ascii="Times New Roman" w:eastAsia="宋体" w:hAnsi="Times New Roman" w:cs="Times New Roman"/>
        </w:rPr>
        <w:t>0.0</w:t>
      </w:r>
      <w:r w:rsidR="00A411FC">
        <w:rPr>
          <w:rFonts w:ascii="Times New Roman" w:eastAsia="宋体" w:hAnsi="Times New Roman" w:cs="Times New Roman" w:hint="eastAsia"/>
        </w:rPr>
        <w:t>1</w:t>
      </w:r>
      <w:r w:rsidR="001E2CAE" w:rsidRPr="001E2CAE">
        <w:rPr>
          <w:rFonts w:ascii="Times New Roman" w:eastAsia="宋体" w:hAnsi="Times New Roman" w:cs="Times New Roman"/>
        </w:rPr>
        <w:t>–0.</w:t>
      </w:r>
      <w:r>
        <w:rPr>
          <w:rFonts w:ascii="Times New Roman" w:eastAsia="宋体" w:hAnsi="Times New Roman" w:cs="Times New Roman" w:hint="eastAsia"/>
        </w:rPr>
        <w:t>15</w:t>
      </w:r>
      <w:r w:rsidR="001E2CAE" w:rsidRPr="001E2CAE">
        <w:rPr>
          <w:rFonts w:ascii="Times New Roman" w:eastAsia="宋体" w:hAnsi="Times New Roman" w:cs="Times New Roman"/>
        </w:rPr>
        <w:t xml:space="preserve"> </w:t>
      </w:r>
      <w:r>
        <w:rPr>
          <w:rFonts w:ascii="Times New Roman" w:eastAsia="宋体" w:hAnsi="Times New Roman" w:cs="Times New Roman" w:hint="eastAsia"/>
        </w:rPr>
        <w:t>mg</w:t>
      </w:r>
      <w:r w:rsidR="001E2CAE" w:rsidRPr="001E2CAE">
        <w:rPr>
          <w:rFonts w:ascii="Times New Roman" w:eastAsia="宋体" w:hAnsi="Times New Roman" w:cs="Times New Roman"/>
        </w:rPr>
        <w:t>/mL</w:t>
      </w:r>
      <w:r w:rsidR="001E2CAE" w:rsidRPr="001E2CAE">
        <w:rPr>
          <w:rFonts w:ascii="Times New Roman" w:eastAsia="宋体" w:hAnsi="Times New Roman" w:cs="Times New Roman"/>
        </w:rPr>
        <w:t>范围内呈良好线性关系（</w:t>
      </w:r>
      <w:r w:rsidR="001E2CAE" w:rsidRPr="001E2CAE">
        <w:rPr>
          <w:rFonts w:ascii="Times New Roman" w:eastAsia="宋体" w:hAnsi="Times New Roman" w:cs="Times New Roman"/>
        </w:rPr>
        <w:t>R²=0.99</w:t>
      </w:r>
      <w:r>
        <w:rPr>
          <w:rFonts w:ascii="Times New Roman" w:eastAsia="宋体" w:hAnsi="Times New Roman" w:cs="Times New Roman" w:hint="eastAsia"/>
        </w:rPr>
        <w:t>74</w:t>
      </w:r>
      <w:r w:rsidR="001E2CAE" w:rsidRPr="001E2CAE">
        <w:rPr>
          <w:rFonts w:ascii="Times New Roman" w:eastAsia="宋体" w:hAnsi="Times New Roman" w:cs="Times New Roman"/>
        </w:rPr>
        <w:t>），符合方法学要求，如图</w:t>
      </w:r>
      <w:r w:rsidR="00B81E15">
        <w:rPr>
          <w:rFonts w:ascii="Times New Roman" w:eastAsia="宋体" w:hAnsi="Times New Roman" w:cs="Times New Roman" w:hint="eastAsia"/>
        </w:rPr>
        <w:t>9</w:t>
      </w:r>
      <w:r w:rsidR="001E2CAE" w:rsidRPr="001E2CAE">
        <w:rPr>
          <w:rFonts w:ascii="Times New Roman" w:eastAsia="宋体" w:hAnsi="Times New Roman" w:cs="Times New Roman"/>
        </w:rPr>
        <w:t>所示。</w:t>
      </w:r>
    </w:p>
    <w:p w14:paraId="6326DEA7" w14:textId="01227149" w:rsidR="001E2CAE" w:rsidRPr="001E2CAE" w:rsidRDefault="001E2CAE" w:rsidP="00FC1700">
      <w:pPr>
        <w:pStyle w:val="ListParagraph"/>
        <w:spacing w:after="120"/>
        <w:ind w:left="360"/>
        <w:jc w:val="center"/>
        <w:rPr>
          <w:rFonts w:ascii="Times New Roman" w:eastAsia="宋体" w:hAnsi="Times New Roman" w:cs="Times New Roman"/>
        </w:rPr>
      </w:pPr>
      <w:r w:rsidRPr="00FC1700">
        <w:rPr>
          <w:rFonts w:ascii="Times New Roman" w:eastAsia="宋体" w:hAnsi="Times New Roman" w:cs="Times New Roman"/>
          <w:b/>
          <w:bCs/>
        </w:rPr>
        <w:t>图</w:t>
      </w:r>
      <w:r w:rsidR="00B81E15">
        <w:rPr>
          <w:rFonts w:ascii="Times New Roman" w:eastAsia="宋体" w:hAnsi="Times New Roman" w:cs="Times New Roman" w:hint="eastAsia"/>
          <w:b/>
          <w:bCs/>
        </w:rPr>
        <w:t>9</w:t>
      </w:r>
      <w:r w:rsidRPr="001E2CAE">
        <w:rPr>
          <w:rFonts w:ascii="Times New Roman" w:eastAsia="宋体" w:hAnsi="Times New Roman" w:cs="Times New Roman"/>
        </w:rPr>
        <w:t xml:space="preserve"> </w:t>
      </w:r>
      <w:r w:rsidR="00727AD2">
        <w:rPr>
          <w:rFonts w:ascii="Times New Roman" w:eastAsia="宋体" w:hAnsi="Times New Roman" w:cs="Times New Roman" w:hint="eastAsia"/>
        </w:rPr>
        <w:t>葡萄糖</w:t>
      </w:r>
      <w:r w:rsidRPr="001E2CAE">
        <w:rPr>
          <w:rFonts w:ascii="Times New Roman" w:eastAsia="宋体" w:hAnsi="Times New Roman" w:cs="Times New Roman"/>
        </w:rPr>
        <w:t>标准曲线</w:t>
      </w:r>
    </w:p>
    <w:p w14:paraId="653891F8" w14:textId="5F074F63" w:rsidR="001E2CAE" w:rsidRPr="001E2CAE" w:rsidRDefault="001E2CAE" w:rsidP="001E2CAE">
      <w:pPr>
        <w:spacing w:after="120"/>
        <w:rPr>
          <w:rFonts w:ascii="Times New Roman" w:eastAsia="宋体" w:hAnsi="Times New Roman" w:cs="Times New Roman"/>
        </w:rPr>
      </w:pPr>
      <w:r w:rsidRPr="001E2CAE">
        <w:rPr>
          <w:rFonts w:ascii="Times New Roman" w:eastAsia="宋体" w:hAnsi="Times New Roman" w:cs="Times New Roman"/>
        </w:rPr>
        <w:t>根据上述标准曲线的回归方程，计算</w:t>
      </w:r>
      <w:r w:rsidRPr="001E2CAE">
        <w:rPr>
          <w:rFonts w:ascii="Times New Roman" w:eastAsia="宋体" w:hAnsi="Times New Roman" w:cs="Times New Roman"/>
        </w:rPr>
        <w:t>DIGESTIVE CARE</w:t>
      </w:r>
      <w:r w:rsidRPr="001E2CAE">
        <w:rPr>
          <w:rFonts w:ascii="Times New Roman" w:eastAsia="宋体" w:hAnsi="Times New Roman" w:cs="Times New Roman"/>
        </w:rPr>
        <w:t>样品中的</w:t>
      </w:r>
      <w:r w:rsidR="00303CFB">
        <w:rPr>
          <w:rFonts w:ascii="Times New Roman" w:eastAsia="宋体" w:hAnsi="Times New Roman" w:cs="Times New Roman" w:hint="eastAsia"/>
        </w:rPr>
        <w:t>总</w:t>
      </w:r>
      <w:r w:rsidRPr="001E2CAE">
        <w:rPr>
          <w:rFonts w:ascii="Times New Roman" w:eastAsia="宋体" w:hAnsi="Times New Roman" w:cs="Times New Roman"/>
        </w:rPr>
        <w:t>多糖含量为</w:t>
      </w:r>
      <w:r w:rsidR="009653EA">
        <w:rPr>
          <w:rFonts w:ascii="Times New Roman" w:eastAsia="宋体" w:hAnsi="Times New Roman" w:cs="Times New Roman" w:hint="eastAsia"/>
        </w:rPr>
        <w:t>65.53</w:t>
      </w:r>
      <w:r w:rsidRPr="001E2CAE">
        <w:rPr>
          <w:rFonts w:ascii="Times New Roman" w:eastAsia="宋体" w:hAnsi="Times New Roman" w:cs="Times New Roman"/>
        </w:rPr>
        <w:t xml:space="preserve"> mg/g</w:t>
      </w:r>
      <w:r w:rsidRPr="001E2CAE">
        <w:rPr>
          <w:rFonts w:ascii="Times New Roman" w:eastAsia="宋体" w:hAnsi="Times New Roman" w:cs="Times New Roman"/>
        </w:rPr>
        <w:t>。</w:t>
      </w:r>
    </w:p>
    <w:p w14:paraId="1D40926C" w14:textId="37736B8A" w:rsidR="00FC1700" w:rsidRPr="00FC1700" w:rsidRDefault="00FC1700" w:rsidP="00FC1700">
      <w:pPr>
        <w:spacing w:line="360" w:lineRule="auto"/>
        <w:jc w:val="both"/>
        <w:rPr>
          <w:rFonts w:ascii="Times New Roman" w:eastAsia="宋体" w:hAnsi="Times New Roman" w:cs="Times New Roman"/>
        </w:rPr>
      </w:pPr>
      <w:r w:rsidRPr="00FC1700">
        <w:rPr>
          <w:rFonts w:ascii="Times New Roman" w:eastAsia="宋体" w:hAnsi="Times New Roman" w:cs="Times New Roman"/>
          <w:noProof/>
        </w:rPr>
        <w:drawing>
          <wp:anchor distT="0" distB="0" distL="114300" distR="114300" simplePos="0" relativeHeight="251665408" behindDoc="0" locked="0" layoutInCell="1" allowOverlap="1" wp14:anchorId="17F193A6" wp14:editId="356173CA">
            <wp:simplePos x="0" y="0"/>
            <wp:positionH relativeFrom="column">
              <wp:posOffset>544830</wp:posOffset>
            </wp:positionH>
            <wp:positionV relativeFrom="paragraph">
              <wp:posOffset>713740</wp:posOffset>
            </wp:positionV>
            <wp:extent cx="3861435" cy="2367915"/>
            <wp:effectExtent l="0" t="0" r="5715" b="0"/>
            <wp:wrapTopAndBottom/>
            <wp:docPr id="1121880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61435" cy="2367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1700">
        <w:rPr>
          <w:rFonts w:ascii="Times New Roman" w:eastAsia="宋体" w:hAnsi="Times New Roman" w:cs="Times New Roman" w:hint="eastAsia"/>
        </w:rPr>
        <w:t>B</w:t>
      </w:r>
      <w:r w:rsidRPr="00FC1700">
        <w:rPr>
          <w:rFonts w:ascii="Times New Roman" w:eastAsia="宋体" w:hAnsi="Times New Roman" w:cs="Times New Roman"/>
        </w:rPr>
        <w:t>SA</w:t>
      </w:r>
      <w:r w:rsidRPr="00FC1700">
        <w:rPr>
          <w:rFonts w:ascii="Times New Roman" w:eastAsia="宋体" w:hAnsi="Times New Roman" w:cs="Times New Roman"/>
        </w:rPr>
        <w:t>标准曲线在</w:t>
      </w:r>
      <w:r w:rsidR="009429EF">
        <w:rPr>
          <w:rFonts w:ascii="Times New Roman" w:eastAsia="宋体" w:hAnsi="Times New Roman" w:cs="Times New Roman" w:hint="eastAsia"/>
        </w:rPr>
        <w:t>0.01</w:t>
      </w:r>
      <w:r w:rsidRPr="00FC1700">
        <w:rPr>
          <w:rFonts w:ascii="Times New Roman" w:eastAsia="宋体" w:hAnsi="Times New Roman" w:cs="Times New Roman"/>
        </w:rPr>
        <w:t>–1 μg/mL</w:t>
      </w:r>
      <w:r w:rsidRPr="00FC1700">
        <w:rPr>
          <w:rFonts w:ascii="Times New Roman" w:eastAsia="宋体" w:hAnsi="Times New Roman" w:cs="Times New Roman"/>
        </w:rPr>
        <w:t>范围内呈良好线性关系（</w:t>
      </w:r>
      <w:r w:rsidRPr="00FC1700">
        <w:rPr>
          <w:rFonts w:ascii="Times New Roman" w:eastAsia="宋体" w:hAnsi="Times New Roman" w:cs="Times New Roman"/>
        </w:rPr>
        <w:t>R²=0.9992</w:t>
      </w:r>
      <w:r w:rsidRPr="00FC1700">
        <w:rPr>
          <w:rFonts w:ascii="Times New Roman" w:eastAsia="宋体" w:hAnsi="Times New Roman" w:cs="Times New Roman"/>
        </w:rPr>
        <w:t>），符合方法学要求，如图</w:t>
      </w:r>
      <w:r w:rsidR="00B81E15">
        <w:rPr>
          <w:rFonts w:ascii="Times New Roman" w:eastAsia="宋体" w:hAnsi="Times New Roman" w:cs="Times New Roman" w:hint="eastAsia"/>
        </w:rPr>
        <w:t>10</w:t>
      </w:r>
      <w:r w:rsidRPr="00FC1700">
        <w:rPr>
          <w:rFonts w:ascii="Times New Roman" w:eastAsia="宋体" w:hAnsi="Times New Roman" w:cs="Times New Roman"/>
        </w:rPr>
        <w:t>所示。</w:t>
      </w:r>
    </w:p>
    <w:p w14:paraId="513E0835" w14:textId="5C449A12" w:rsidR="00FC1700" w:rsidRPr="00FC1700" w:rsidRDefault="00FC1700" w:rsidP="00FC1700">
      <w:pPr>
        <w:spacing w:line="360" w:lineRule="auto"/>
        <w:jc w:val="center"/>
        <w:rPr>
          <w:rFonts w:ascii="Times New Roman" w:eastAsia="宋体" w:hAnsi="Times New Roman" w:cs="Times New Roman"/>
        </w:rPr>
      </w:pPr>
      <w:r w:rsidRPr="00FC1700">
        <w:rPr>
          <w:rFonts w:ascii="Times New Roman" w:eastAsia="宋体" w:hAnsi="Times New Roman" w:cs="Times New Roman"/>
          <w:b/>
          <w:bCs/>
        </w:rPr>
        <w:t>图</w:t>
      </w:r>
      <w:r w:rsidRPr="00FC1700">
        <w:rPr>
          <w:rFonts w:ascii="Times New Roman" w:eastAsia="宋体" w:hAnsi="Times New Roman" w:cs="Times New Roman"/>
          <w:b/>
          <w:bCs/>
        </w:rPr>
        <w:t>1</w:t>
      </w:r>
      <w:r w:rsidR="00B81E15">
        <w:rPr>
          <w:rFonts w:ascii="Times New Roman" w:eastAsia="宋体" w:hAnsi="Times New Roman" w:cs="Times New Roman" w:hint="eastAsia"/>
          <w:b/>
          <w:bCs/>
        </w:rPr>
        <w:t>0</w:t>
      </w:r>
      <w:r w:rsidRPr="00FC1700">
        <w:rPr>
          <w:rFonts w:ascii="Times New Roman" w:eastAsia="宋体" w:hAnsi="Times New Roman" w:cs="Times New Roman"/>
        </w:rPr>
        <w:t xml:space="preserve"> BSA</w:t>
      </w:r>
      <w:r w:rsidRPr="00FC1700">
        <w:rPr>
          <w:rFonts w:ascii="Times New Roman" w:eastAsia="宋体" w:hAnsi="Times New Roman" w:cs="Times New Roman"/>
        </w:rPr>
        <w:t>标准曲线</w:t>
      </w:r>
    </w:p>
    <w:p w14:paraId="53CDC453" w14:textId="65BE17B8" w:rsidR="00FC1700" w:rsidRPr="00727AD2" w:rsidRDefault="00FC1700" w:rsidP="00FC1700">
      <w:pPr>
        <w:spacing w:line="360" w:lineRule="auto"/>
        <w:jc w:val="both"/>
        <w:rPr>
          <w:rFonts w:ascii="Times New Roman" w:eastAsia="宋体" w:hAnsi="Times New Roman" w:cs="Times New Roman"/>
        </w:rPr>
      </w:pPr>
      <w:r w:rsidRPr="00727AD2">
        <w:rPr>
          <w:rFonts w:ascii="Times New Roman" w:eastAsia="宋体" w:hAnsi="Times New Roman" w:cs="Times New Roman"/>
        </w:rPr>
        <w:t>根据上述标准曲线的回归方程，计算</w:t>
      </w:r>
      <w:r w:rsidR="00C44811" w:rsidRPr="001E2CAE">
        <w:rPr>
          <w:rFonts w:ascii="Times New Roman" w:eastAsia="宋体" w:hAnsi="Times New Roman" w:cs="Times New Roman"/>
        </w:rPr>
        <w:t>DIGESTIVE CARE</w:t>
      </w:r>
      <w:r w:rsidRPr="00727AD2">
        <w:rPr>
          <w:rFonts w:ascii="Times New Roman" w:eastAsia="宋体" w:hAnsi="Times New Roman" w:cs="Times New Roman"/>
        </w:rPr>
        <w:t>样品中的总蛋白含量为</w:t>
      </w:r>
      <w:r w:rsidR="009653EA">
        <w:rPr>
          <w:rFonts w:ascii="Times New Roman" w:eastAsia="宋体" w:hAnsi="Times New Roman" w:cs="Times New Roman" w:hint="eastAsia"/>
        </w:rPr>
        <w:t>194.23</w:t>
      </w:r>
      <w:r w:rsidRPr="00727AD2">
        <w:rPr>
          <w:rFonts w:ascii="Times New Roman" w:eastAsia="宋体" w:hAnsi="Times New Roman" w:cs="Times New Roman"/>
        </w:rPr>
        <w:t xml:space="preserve"> mg/g</w:t>
      </w:r>
      <w:r w:rsidRPr="00727AD2">
        <w:rPr>
          <w:rFonts w:ascii="Times New Roman" w:eastAsia="宋体" w:hAnsi="Times New Roman" w:cs="Times New Roman"/>
        </w:rPr>
        <w:t>。</w:t>
      </w:r>
    </w:p>
    <w:p w14:paraId="3AC40BAD" w14:textId="49F0299A" w:rsidR="00DB6CD5" w:rsidRDefault="00190A06" w:rsidP="00DB6CD5">
      <w:pPr>
        <w:spacing w:line="360" w:lineRule="auto"/>
        <w:jc w:val="both"/>
        <w:rPr>
          <w:rFonts w:ascii="Times New Roman" w:eastAsia="宋体" w:hAnsi="Times New Roman" w:cs="Times New Roman"/>
        </w:rPr>
      </w:pPr>
      <w:r>
        <w:rPr>
          <w:rFonts w:ascii="Times New Roman" w:eastAsia="宋体" w:hAnsi="Times New Roman" w:cs="Times New Roman"/>
          <w:b/>
          <w:bCs/>
          <w:noProof/>
        </w:rPr>
        <w:lastRenderedPageBreak/>
        <w:drawing>
          <wp:anchor distT="0" distB="0" distL="114300" distR="114300" simplePos="0" relativeHeight="251667456" behindDoc="0" locked="0" layoutInCell="1" allowOverlap="1" wp14:anchorId="7B7F1A1A" wp14:editId="2E5ED8A7">
            <wp:simplePos x="0" y="0"/>
            <wp:positionH relativeFrom="column">
              <wp:posOffset>247015</wp:posOffset>
            </wp:positionH>
            <wp:positionV relativeFrom="paragraph">
              <wp:posOffset>639445</wp:posOffset>
            </wp:positionV>
            <wp:extent cx="4295140" cy="2547620"/>
            <wp:effectExtent l="0" t="0" r="0" b="5080"/>
            <wp:wrapTopAndBottom/>
            <wp:docPr id="142626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5140" cy="2547620"/>
                    </a:xfrm>
                    <a:prstGeom prst="rect">
                      <a:avLst/>
                    </a:prstGeom>
                    <a:noFill/>
                  </pic:spPr>
                </pic:pic>
              </a:graphicData>
            </a:graphic>
            <wp14:sizeRelH relativeFrom="margin">
              <wp14:pctWidth>0</wp14:pctWidth>
            </wp14:sizeRelH>
            <wp14:sizeRelV relativeFrom="margin">
              <wp14:pctHeight>0</wp14:pctHeight>
            </wp14:sizeRelV>
          </wp:anchor>
        </w:drawing>
      </w:r>
      <w:r w:rsidR="00CC6E0C">
        <w:rPr>
          <w:rFonts w:ascii="Times New Roman" w:eastAsia="宋体" w:hAnsi="Times New Roman" w:cs="Times New Roman" w:hint="eastAsia"/>
        </w:rPr>
        <w:t>没食子酸</w:t>
      </w:r>
      <w:r w:rsidR="00727AD2" w:rsidRPr="001E2CAE">
        <w:rPr>
          <w:rFonts w:ascii="Times New Roman" w:eastAsia="宋体" w:hAnsi="Times New Roman" w:cs="Times New Roman"/>
        </w:rPr>
        <w:t>标准曲线在</w:t>
      </w:r>
      <w:r w:rsidR="004A6891" w:rsidRPr="00C56505">
        <w:rPr>
          <w:rFonts w:ascii="Times New Roman" w:eastAsia="宋体" w:hAnsi="Times New Roman" w:cs="Times New Roman"/>
        </w:rPr>
        <w:t>0.01</w:t>
      </w:r>
      <w:r w:rsidR="00727AD2" w:rsidRPr="001E2CAE">
        <w:rPr>
          <w:rFonts w:ascii="Times New Roman" w:eastAsia="宋体" w:hAnsi="Times New Roman" w:cs="Times New Roman"/>
        </w:rPr>
        <w:t>–</w:t>
      </w:r>
      <w:r w:rsidR="009429EF">
        <w:rPr>
          <w:rFonts w:ascii="Times New Roman" w:eastAsia="宋体" w:hAnsi="Times New Roman" w:cs="Times New Roman" w:hint="eastAsia"/>
        </w:rPr>
        <w:t>0.5</w:t>
      </w:r>
      <w:r w:rsidR="00727AD2" w:rsidRPr="001E2CAE">
        <w:rPr>
          <w:rFonts w:ascii="Times New Roman" w:eastAsia="宋体" w:hAnsi="Times New Roman" w:cs="Times New Roman"/>
        </w:rPr>
        <w:t xml:space="preserve"> </w:t>
      </w:r>
      <w:r w:rsidR="004A6891">
        <w:rPr>
          <w:rFonts w:ascii="Times New Roman" w:eastAsia="宋体" w:hAnsi="Times New Roman" w:cs="Times New Roman" w:hint="eastAsia"/>
        </w:rPr>
        <w:t>m</w:t>
      </w:r>
      <w:r w:rsidR="00727AD2" w:rsidRPr="001E2CAE">
        <w:rPr>
          <w:rFonts w:ascii="Times New Roman" w:eastAsia="宋体" w:hAnsi="Times New Roman" w:cs="Times New Roman"/>
        </w:rPr>
        <w:t>g/mL</w:t>
      </w:r>
      <w:r w:rsidR="00727AD2" w:rsidRPr="001E2CAE">
        <w:rPr>
          <w:rFonts w:ascii="Times New Roman" w:eastAsia="宋体" w:hAnsi="Times New Roman" w:cs="Times New Roman"/>
        </w:rPr>
        <w:t>范围内呈良好线性关系（</w:t>
      </w:r>
      <w:r w:rsidR="00727AD2" w:rsidRPr="001E2CAE">
        <w:rPr>
          <w:rFonts w:ascii="Times New Roman" w:eastAsia="宋体" w:hAnsi="Times New Roman" w:cs="Times New Roman"/>
        </w:rPr>
        <w:t>R²=0.99</w:t>
      </w:r>
      <w:r w:rsidR="003F4D6F">
        <w:rPr>
          <w:rFonts w:ascii="Times New Roman" w:eastAsia="宋体" w:hAnsi="Times New Roman" w:cs="Times New Roman" w:hint="eastAsia"/>
        </w:rPr>
        <w:t>41</w:t>
      </w:r>
      <w:r w:rsidR="00727AD2" w:rsidRPr="001E2CAE">
        <w:rPr>
          <w:rFonts w:ascii="Times New Roman" w:eastAsia="宋体" w:hAnsi="Times New Roman" w:cs="Times New Roman"/>
        </w:rPr>
        <w:t>），符合方法学要求，如图</w:t>
      </w:r>
      <w:r w:rsidR="00727AD2" w:rsidRPr="001E2CAE">
        <w:rPr>
          <w:rFonts w:ascii="Times New Roman" w:eastAsia="宋体" w:hAnsi="Times New Roman" w:cs="Times New Roman"/>
        </w:rPr>
        <w:t>1</w:t>
      </w:r>
      <w:r w:rsidR="00873740">
        <w:rPr>
          <w:rFonts w:ascii="Times New Roman" w:eastAsia="宋体" w:hAnsi="Times New Roman" w:cs="Times New Roman" w:hint="eastAsia"/>
        </w:rPr>
        <w:t>1</w:t>
      </w:r>
      <w:r w:rsidR="00727AD2" w:rsidRPr="001E2CAE">
        <w:rPr>
          <w:rFonts w:ascii="Times New Roman" w:eastAsia="宋体" w:hAnsi="Times New Roman" w:cs="Times New Roman"/>
        </w:rPr>
        <w:t>所示。</w:t>
      </w:r>
    </w:p>
    <w:p w14:paraId="58A4DF19" w14:textId="29ED5A71" w:rsidR="00BB4E7A" w:rsidRDefault="00BB4E7A" w:rsidP="00BB4E7A">
      <w:pPr>
        <w:spacing w:line="360" w:lineRule="auto"/>
        <w:jc w:val="center"/>
        <w:rPr>
          <w:rFonts w:ascii="Times New Roman" w:eastAsia="宋体" w:hAnsi="Times New Roman" w:cs="Times New Roman"/>
        </w:rPr>
      </w:pPr>
      <w:r w:rsidRPr="00FC1700">
        <w:rPr>
          <w:rFonts w:ascii="Times New Roman" w:eastAsia="宋体" w:hAnsi="Times New Roman" w:cs="Times New Roman"/>
          <w:b/>
          <w:bCs/>
        </w:rPr>
        <w:t>图</w:t>
      </w:r>
      <w:r w:rsidRPr="00FC1700">
        <w:rPr>
          <w:rFonts w:ascii="Times New Roman" w:eastAsia="宋体" w:hAnsi="Times New Roman" w:cs="Times New Roman"/>
          <w:b/>
          <w:bCs/>
        </w:rPr>
        <w:t>1</w:t>
      </w:r>
      <w:r>
        <w:rPr>
          <w:rFonts w:ascii="Times New Roman" w:eastAsia="宋体" w:hAnsi="Times New Roman" w:cs="Times New Roman" w:hint="eastAsia"/>
          <w:b/>
          <w:bCs/>
        </w:rPr>
        <w:t>0</w:t>
      </w:r>
      <w:r w:rsidRPr="00FC1700">
        <w:rPr>
          <w:rFonts w:ascii="Times New Roman" w:eastAsia="宋体" w:hAnsi="Times New Roman" w:cs="Times New Roman"/>
        </w:rPr>
        <w:t xml:space="preserve"> </w:t>
      </w:r>
      <w:r>
        <w:rPr>
          <w:rFonts w:ascii="Times New Roman" w:eastAsia="宋体" w:hAnsi="Times New Roman" w:cs="Times New Roman" w:hint="eastAsia"/>
        </w:rPr>
        <w:t>没食子酸</w:t>
      </w:r>
      <w:r w:rsidRPr="00FC1700">
        <w:rPr>
          <w:rFonts w:ascii="Times New Roman" w:eastAsia="宋体" w:hAnsi="Times New Roman" w:cs="Times New Roman"/>
        </w:rPr>
        <w:t>标准曲线</w:t>
      </w:r>
    </w:p>
    <w:p w14:paraId="55E58E3A" w14:textId="6AD83B76" w:rsidR="004A6891" w:rsidRPr="00727AD2" w:rsidRDefault="004A6891" w:rsidP="004A6891">
      <w:pPr>
        <w:spacing w:line="360" w:lineRule="auto"/>
        <w:jc w:val="both"/>
        <w:rPr>
          <w:rFonts w:ascii="Times New Roman" w:eastAsia="宋体" w:hAnsi="Times New Roman" w:cs="Times New Roman"/>
        </w:rPr>
      </w:pPr>
      <w:r w:rsidRPr="00727AD2">
        <w:rPr>
          <w:rFonts w:ascii="Times New Roman" w:eastAsia="宋体" w:hAnsi="Times New Roman" w:cs="Times New Roman"/>
        </w:rPr>
        <w:t>根据上述标准曲线的回归方程，计算</w:t>
      </w:r>
      <w:r w:rsidR="00275E57" w:rsidRPr="001E2CAE">
        <w:rPr>
          <w:rFonts w:ascii="Times New Roman" w:eastAsia="宋体" w:hAnsi="Times New Roman" w:cs="Times New Roman"/>
        </w:rPr>
        <w:t>DIGESTIVE CARE</w:t>
      </w:r>
      <w:r w:rsidRPr="00727AD2">
        <w:rPr>
          <w:rFonts w:ascii="Times New Roman" w:eastAsia="宋体" w:hAnsi="Times New Roman" w:cs="Times New Roman"/>
        </w:rPr>
        <w:t>样品中的总</w:t>
      </w:r>
      <w:r w:rsidR="00275E57">
        <w:rPr>
          <w:rFonts w:ascii="Times New Roman" w:eastAsia="宋体" w:hAnsi="Times New Roman" w:cs="Times New Roman" w:hint="eastAsia"/>
        </w:rPr>
        <w:t>多酚</w:t>
      </w:r>
      <w:r w:rsidRPr="00727AD2">
        <w:rPr>
          <w:rFonts w:ascii="Times New Roman" w:eastAsia="宋体" w:hAnsi="Times New Roman" w:cs="Times New Roman"/>
        </w:rPr>
        <w:t>含量为</w:t>
      </w:r>
      <w:r w:rsidR="009D1664">
        <w:rPr>
          <w:rFonts w:ascii="Times New Roman" w:eastAsia="宋体" w:hAnsi="Times New Roman" w:cs="Times New Roman" w:hint="eastAsia"/>
        </w:rPr>
        <w:t>6.29</w:t>
      </w:r>
      <w:r w:rsidRPr="00727AD2">
        <w:rPr>
          <w:rFonts w:ascii="Times New Roman" w:eastAsia="宋体" w:hAnsi="Times New Roman" w:cs="Times New Roman"/>
        </w:rPr>
        <w:t xml:space="preserve"> mg/g</w:t>
      </w:r>
      <w:r w:rsidRPr="00727AD2">
        <w:rPr>
          <w:rFonts w:ascii="Times New Roman" w:eastAsia="宋体" w:hAnsi="Times New Roman" w:cs="Times New Roman"/>
        </w:rPr>
        <w:t>。</w:t>
      </w:r>
    </w:p>
    <w:p w14:paraId="3CF87CA1" w14:textId="5204A0D2" w:rsidR="004A6891" w:rsidRDefault="00BB4E7A" w:rsidP="004A6891">
      <w:pPr>
        <w:spacing w:line="360" w:lineRule="auto"/>
        <w:jc w:val="both"/>
        <w:rPr>
          <w:rFonts w:ascii="Times New Roman" w:eastAsia="宋体" w:hAnsi="Times New Roman" w:cs="Times New Roman"/>
        </w:rPr>
      </w:pPr>
      <w:r>
        <w:rPr>
          <w:rFonts w:ascii="Times New Roman" w:eastAsia="宋体" w:hAnsi="Times New Roman" w:cs="Times New Roman"/>
          <w:b/>
          <w:bCs/>
          <w:noProof/>
        </w:rPr>
        <w:drawing>
          <wp:anchor distT="0" distB="0" distL="114300" distR="114300" simplePos="0" relativeHeight="251668480" behindDoc="0" locked="0" layoutInCell="1" allowOverlap="1" wp14:anchorId="4588DF34" wp14:editId="24B75A4D">
            <wp:simplePos x="0" y="0"/>
            <wp:positionH relativeFrom="column">
              <wp:posOffset>247015</wp:posOffset>
            </wp:positionH>
            <wp:positionV relativeFrom="paragraph">
              <wp:posOffset>777875</wp:posOffset>
            </wp:positionV>
            <wp:extent cx="4095750" cy="2456180"/>
            <wp:effectExtent l="0" t="0" r="0" b="1270"/>
            <wp:wrapTopAndBottom/>
            <wp:docPr id="1792790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0" cy="2456180"/>
                    </a:xfrm>
                    <a:prstGeom prst="rect">
                      <a:avLst/>
                    </a:prstGeom>
                    <a:noFill/>
                  </pic:spPr>
                </pic:pic>
              </a:graphicData>
            </a:graphic>
            <wp14:sizeRelH relativeFrom="margin">
              <wp14:pctWidth>0</wp14:pctWidth>
            </wp14:sizeRelH>
            <wp14:sizeRelV relativeFrom="margin">
              <wp14:pctHeight>0</wp14:pctHeight>
            </wp14:sizeRelV>
          </wp:anchor>
        </w:drawing>
      </w:r>
      <w:r w:rsidR="004A6891" w:rsidRPr="001E2CAE">
        <w:rPr>
          <w:rFonts w:ascii="Times New Roman" w:eastAsia="宋体" w:hAnsi="Times New Roman" w:cs="Times New Roman"/>
        </w:rPr>
        <w:t>标准曲线在</w:t>
      </w:r>
      <w:r w:rsidR="004A6891" w:rsidRPr="00C56505">
        <w:rPr>
          <w:rFonts w:ascii="Times New Roman" w:eastAsia="宋体" w:hAnsi="Times New Roman" w:cs="Times New Roman"/>
        </w:rPr>
        <w:t>0.01</w:t>
      </w:r>
      <w:r w:rsidR="004A6891" w:rsidRPr="001E2CAE">
        <w:rPr>
          <w:rFonts w:ascii="Times New Roman" w:eastAsia="宋体" w:hAnsi="Times New Roman" w:cs="Times New Roman"/>
        </w:rPr>
        <w:t>–</w:t>
      </w:r>
      <w:r w:rsidR="004A6891">
        <w:rPr>
          <w:rFonts w:ascii="Times New Roman" w:eastAsia="宋体" w:hAnsi="Times New Roman" w:cs="Times New Roman" w:hint="eastAsia"/>
        </w:rPr>
        <w:t>2</w:t>
      </w:r>
      <w:r w:rsidR="004A6891" w:rsidRPr="001E2CAE">
        <w:rPr>
          <w:rFonts w:ascii="Times New Roman" w:eastAsia="宋体" w:hAnsi="Times New Roman" w:cs="Times New Roman"/>
        </w:rPr>
        <w:t xml:space="preserve"> </w:t>
      </w:r>
      <w:r w:rsidR="004A6891">
        <w:rPr>
          <w:rFonts w:ascii="Times New Roman" w:eastAsia="宋体" w:hAnsi="Times New Roman" w:cs="Times New Roman" w:hint="eastAsia"/>
        </w:rPr>
        <w:t>m</w:t>
      </w:r>
      <w:r w:rsidR="004A6891" w:rsidRPr="001E2CAE">
        <w:rPr>
          <w:rFonts w:ascii="Times New Roman" w:eastAsia="宋体" w:hAnsi="Times New Roman" w:cs="Times New Roman"/>
        </w:rPr>
        <w:t>g/mL</w:t>
      </w:r>
      <w:r w:rsidR="004A6891" w:rsidRPr="001E2CAE">
        <w:rPr>
          <w:rFonts w:ascii="Times New Roman" w:eastAsia="宋体" w:hAnsi="Times New Roman" w:cs="Times New Roman"/>
        </w:rPr>
        <w:t>范围内呈良好线性关系（</w:t>
      </w:r>
      <w:r w:rsidR="004A6891" w:rsidRPr="001E2CAE">
        <w:rPr>
          <w:rFonts w:ascii="Times New Roman" w:eastAsia="宋体" w:hAnsi="Times New Roman" w:cs="Times New Roman"/>
        </w:rPr>
        <w:t>R²=0.9966</w:t>
      </w:r>
      <w:r w:rsidR="004A6891" w:rsidRPr="001E2CAE">
        <w:rPr>
          <w:rFonts w:ascii="Times New Roman" w:eastAsia="宋体" w:hAnsi="Times New Roman" w:cs="Times New Roman"/>
        </w:rPr>
        <w:t>），符合方法学要求，如图</w:t>
      </w:r>
      <w:r w:rsidR="004A6891" w:rsidRPr="001E2CAE">
        <w:rPr>
          <w:rFonts w:ascii="Times New Roman" w:eastAsia="宋体" w:hAnsi="Times New Roman" w:cs="Times New Roman"/>
        </w:rPr>
        <w:t>1</w:t>
      </w:r>
      <w:r w:rsidR="00873740">
        <w:rPr>
          <w:rFonts w:ascii="Times New Roman" w:eastAsia="宋体" w:hAnsi="Times New Roman" w:cs="Times New Roman" w:hint="eastAsia"/>
        </w:rPr>
        <w:t>2</w:t>
      </w:r>
      <w:r w:rsidR="004A6891" w:rsidRPr="001E2CAE">
        <w:rPr>
          <w:rFonts w:ascii="Times New Roman" w:eastAsia="宋体" w:hAnsi="Times New Roman" w:cs="Times New Roman"/>
        </w:rPr>
        <w:t>所示。</w:t>
      </w:r>
    </w:p>
    <w:p w14:paraId="46431FE5" w14:textId="4962A749" w:rsidR="004A6891" w:rsidRPr="00BB4E7A" w:rsidRDefault="00BB4E7A" w:rsidP="00BB4E7A">
      <w:pPr>
        <w:spacing w:line="360" w:lineRule="auto"/>
        <w:jc w:val="center"/>
        <w:rPr>
          <w:rFonts w:ascii="Times New Roman" w:eastAsia="宋体" w:hAnsi="Times New Roman" w:cs="Times New Roman"/>
        </w:rPr>
      </w:pPr>
      <w:r w:rsidRPr="00FC1700">
        <w:rPr>
          <w:rFonts w:ascii="Times New Roman" w:eastAsia="宋体" w:hAnsi="Times New Roman" w:cs="Times New Roman"/>
          <w:b/>
          <w:bCs/>
        </w:rPr>
        <w:t>图</w:t>
      </w:r>
      <w:r w:rsidRPr="00FC1700">
        <w:rPr>
          <w:rFonts w:ascii="Times New Roman" w:eastAsia="宋体" w:hAnsi="Times New Roman" w:cs="Times New Roman"/>
          <w:b/>
          <w:bCs/>
        </w:rPr>
        <w:t>1</w:t>
      </w:r>
      <w:r>
        <w:rPr>
          <w:rFonts w:ascii="Times New Roman" w:eastAsia="宋体" w:hAnsi="Times New Roman" w:cs="Times New Roman" w:hint="eastAsia"/>
          <w:b/>
          <w:bCs/>
        </w:rPr>
        <w:t>0</w:t>
      </w:r>
      <w:r w:rsidRPr="00FC1700">
        <w:rPr>
          <w:rFonts w:ascii="Times New Roman" w:eastAsia="宋体" w:hAnsi="Times New Roman" w:cs="Times New Roman"/>
        </w:rPr>
        <w:t xml:space="preserve"> </w:t>
      </w:r>
      <w:r>
        <w:rPr>
          <w:rFonts w:ascii="Times New Roman" w:eastAsia="宋体" w:hAnsi="Times New Roman" w:cs="Times New Roman" w:hint="eastAsia"/>
        </w:rPr>
        <w:t>芦丁</w:t>
      </w:r>
      <w:r w:rsidRPr="00FC1700">
        <w:rPr>
          <w:rFonts w:ascii="Times New Roman" w:eastAsia="宋体" w:hAnsi="Times New Roman" w:cs="Times New Roman"/>
        </w:rPr>
        <w:t>标准曲线</w:t>
      </w:r>
    </w:p>
    <w:p w14:paraId="487C5AA8" w14:textId="715C7008" w:rsidR="00DB6CD5" w:rsidRPr="00A411FC" w:rsidRDefault="004A6891" w:rsidP="00DB6CD5">
      <w:pPr>
        <w:spacing w:line="360" w:lineRule="auto"/>
        <w:jc w:val="both"/>
        <w:rPr>
          <w:rFonts w:ascii="Times New Roman" w:eastAsia="宋体" w:hAnsi="Times New Roman" w:cs="Times New Roman"/>
        </w:rPr>
      </w:pPr>
      <w:r w:rsidRPr="00727AD2">
        <w:rPr>
          <w:rFonts w:ascii="Times New Roman" w:eastAsia="宋体" w:hAnsi="Times New Roman" w:cs="Times New Roman"/>
        </w:rPr>
        <w:t>根据上述标准曲线的回归方程，计算</w:t>
      </w:r>
      <w:r w:rsidR="00190A06" w:rsidRPr="001E2CAE">
        <w:rPr>
          <w:rFonts w:ascii="Times New Roman" w:eastAsia="宋体" w:hAnsi="Times New Roman" w:cs="Times New Roman"/>
        </w:rPr>
        <w:t>DIGESTIVE CARE</w:t>
      </w:r>
      <w:r w:rsidRPr="00727AD2">
        <w:rPr>
          <w:rFonts w:ascii="Times New Roman" w:eastAsia="宋体" w:hAnsi="Times New Roman" w:cs="Times New Roman"/>
        </w:rPr>
        <w:t>样品中的总</w:t>
      </w:r>
      <w:r w:rsidR="000D5223">
        <w:rPr>
          <w:rFonts w:ascii="Times New Roman" w:eastAsia="宋体" w:hAnsi="Times New Roman" w:cs="Times New Roman" w:hint="eastAsia"/>
        </w:rPr>
        <w:t>黄酮</w:t>
      </w:r>
      <w:r w:rsidRPr="00727AD2">
        <w:rPr>
          <w:rFonts w:ascii="Times New Roman" w:eastAsia="宋体" w:hAnsi="Times New Roman" w:cs="Times New Roman"/>
        </w:rPr>
        <w:t>含量为</w:t>
      </w:r>
      <w:r w:rsidR="00ED76C4">
        <w:rPr>
          <w:rFonts w:ascii="Times New Roman" w:eastAsia="宋体" w:hAnsi="Times New Roman" w:cs="Times New Roman" w:hint="eastAsia"/>
        </w:rPr>
        <w:t>24.73</w:t>
      </w:r>
      <w:r w:rsidRPr="00727AD2">
        <w:rPr>
          <w:rFonts w:ascii="Times New Roman" w:eastAsia="宋体" w:hAnsi="Times New Roman" w:cs="Times New Roman"/>
        </w:rPr>
        <w:t xml:space="preserve"> mg/</w:t>
      </w:r>
      <w:r w:rsidR="00A411FC">
        <w:rPr>
          <w:rFonts w:ascii="Times New Roman" w:eastAsia="宋体" w:hAnsi="Times New Roman" w:cs="Times New Roman" w:hint="eastAsia"/>
        </w:rPr>
        <w:t>g.</w:t>
      </w:r>
    </w:p>
    <w:p w14:paraId="4F9F6FED" w14:textId="195C0E7B" w:rsidR="003A5D1F" w:rsidRPr="009653EA" w:rsidRDefault="00A4259B">
      <w:pPr>
        <w:widowControl/>
        <w:rPr>
          <w:rFonts w:ascii="Times New Roman" w:eastAsia="宋体" w:hAnsi="Times New Roman" w:cs="Times New Roman"/>
          <w:b/>
          <w:bCs/>
          <w:sz w:val="24"/>
        </w:rPr>
      </w:pPr>
      <w:r w:rsidRPr="009653EA">
        <w:rPr>
          <w:rFonts w:ascii="Times New Roman" w:eastAsia="宋体" w:hAnsi="Times New Roman" w:cs="Times New Roman" w:hint="eastAsia"/>
          <w:b/>
          <w:bCs/>
          <w:sz w:val="24"/>
        </w:rPr>
        <w:lastRenderedPageBreak/>
        <w:t>四、</w:t>
      </w:r>
      <w:r w:rsidR="001E4E95" w:rsidRPr="009653EA">
        <w:rPr>
          <w:rFonts w:ascii="Times New Roman" w:eastAsia="宋体" w:hAnsi="Times New Roman" w:cs="Times New Roman"/>
          <w:b/>
          <w:bCs/>
          <w:sz w:val="24"/>
        </w:rPr>
        <w:t>DIGESTIVE CARE</w:t>
      </w:r>
      <w:r w:rsidR="001E4E95" w:rsidRPr="009653EA">
        <w:rPr>
          <w:rFonts w:ascii="Times New Roman" w:eastAsia="宋体" w:hAnsi="Times New Roman" w:cs="Times New Roman" w:hint="eastAsia"/>
          <w:b/>
          <w:bCs/>
          <w:sz w:val="24"/>
        </w:rPr>
        <w:t xml:space="preserve"> </w:t>
      </w:r>
      <w:r w:rsidR="001E4E95" w:rsidRPr="009653EA">
        <w:rPr>
          <w:rFonts w:ascii="Times New Roman" w:eastAsia="宋体" w:hAnsi="Times New Roman" w:cs="Times New Roman" w:hint="eastAsia"/>
          <w:b/>
          <w:bCs/>
          <w:sz w:val="24"/>
        </w:rPr>
        <w:t>的</w:t>
      </w:r>
      <w:r w:rsidR="000F2749">
        <w:rPr>
          <w:rFonts w:ascii="Times New Roman" w:eastAsia="宋体" w:hAnsi="Times New Roman" w:cs="Times New Roman" w:hint="eastAsia"/>
          <w:b/>
          <w:bCs/>
          <w:sz w:val="24"/>
        </w:rPr>
        <w:t>营养成分</w:t>
      </w:r>
      <w:r w:rsidR="004A6A9F" w:rsidRPr="009653EA">
        <w:rPr>
          <w:rFonts w:ascii="Times New Roman" w:eastAsia="宋体" w:hAnsi="Times New Roman" w:cs="Times New Roman" w:hint="eastAsia"/>
          <w:b/>
          <w:bCs/>
          <w:sz w:val="24"/>
        </w:rPr>
        <w:t>总结</w:t>
      </w:r>
    </w:p>
    <w:p w14:paraId="3504E99A" w14:textId="617D8ADC" w:rsidR="003A5D1F" w:rsidRDefault="003A5D1F">
      <w:pPr>
        <w:widowControl/>
        <w:rPr>
          <w:rFonts w:ascii="Times New Roman" w:eastAsia="宋体" w:hAnsi="Times New Roman" w:cs="Times New Roman"/>
          <w:b/>
          <w:b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205"/>
      </w:tblGrid>
      <w:tr w:rsidR="00993AA0" w:rsidRPr="000F2749" w14:paraId="4D3E59F6" w14:textId="77777777" w:rsidTr="009A7CBE">
        <w:tc>
          <w:tcPr>
            <w:tcW w:w="6091" w:type="dxa"/>
            <w:tcBorders>
              <w:top w:val="single" w:sz="4" w:space="0" w:color="auto"/>
              <w:bottom w:val="single" w:sz="4" w:space="0" w:color="auto"/>
            </w:tcBorders>
          </w:tcPr>
          <w:p w14:paraId="3D6ABE77" w14:textId="4B55B95A" w:rsidR="00993AA0" w:rsidRPr="00942F1A" w:rsidRDefault="000F2749" w:rsidP="00942F1A">
            <w:pPr>
              <w:spacing w:line="360" w:lineRule="auto"/>
              <w:rPr>
                <w:rFonts w:ascii="Times New Roman" w:eastAsia="宋体" w:hAnsi="Times New Roman" w:cs="Times New Roman"/>
                <w:b/>
                <w:bCs/>
                <w:sz w:val="24"/>
              </w:rPr>
            </w:pPr>
            <w:r w:rsidRPr="00942F1A">
              <w:rPr>
                <w:rFonts w:ascii="Times New Roman" w:eastAsia="宋体" w:hAnsi="Times New Roman" w:cs="Times New Roman"/>
                <w:b/>
                <w:bCs/>
                <w:sz w:val="24"/>
              </w:rPr>
              <w:t>营养成分</w:t>
            </w:r>
          </w:p>
        </w:tc>
        <w:tc>
          <w:tcPr>
            <w:tcW w:w="2205" w:type="dxa"/>
            <w:tcBorders>
              <w:top w:val="single" w:sz="4" w:space="0" w:color="auto"/>
              <w:bottom w:val="single" w:sz="4" w:space="0" w:color="auto"/>
            </w:tcBorders>
          </w:tcPr>
          <w:p w14:paraId="4319BB97" w14:textId="3AF950E3" w:rsidR="00993AA0" w:rsidRPr="000F2749" w:rsidRDefault="000F2749" w:rsidP="00993AA0">
            <w:pPr>
              <w:spacing w:line="480" w:lineRule="auto"/>
              <w:rPr>
                <w:rFonts w:ascii="宋体" w:eastAsia="宋体" w:hAnsi="宋体" w:cs="Times New Roman"/>
                <w:b/>
                <w:bCs/>
                <w:sz w:val="24"/>
              </w:rPr>
            </w:pPr>
            <w:r w:rsidRPr="000F2749">
              <w:rPr>
                <w:rFonts w:ascii="宋体" w:eastAsia="宋体" w:hAnsi="宋体" w:cs="Times New Roman" w:hint="eastAsia"/>
                <w:b/>
                <w:bCs/>
                <w:sz w:val="24"/>
              </w:rPr>
              <w:t>含量</w:t>
            </w:r>
          </w:p>
        </w:tc>
      </w:tr>
      <w:tr w:rsidR="00993AA0" w:rsidRPr="00993AA0" w14:paraId="5C149192" w14:textId="77777777" w:rsidTr="009A7CBE">
        <w:tc>
          <w:tcPr>
            <w:tcW w:w="6091" w:type="dxa"/>
            <w:tcBorders>
              <w:top w:val="single" w:sz="4" w:space="0" w:color="auto"/>
            </w:tcBorders>
          </w:tcPr>
          <w:p w14:paraId="6C0DFE7E" w14:textId="44E9F4EA" w:rsidR="00993AA0" w:rsidRPr="00942F1A" w:rsidRDefault="00942F1A" w:rsidP="00942F1A">
            <w:pPr>
              <w:spacing w:line="360" w:lineRule="auto"/>
              <w:rPr>
                <w:rFonts w:ascii="Times New Roman" w:eastAsia="宋体" w:hAnsi="Times New Roman" w:cs="Times New Roman"/>
                <w:sz w:val="24"/>
              </w:rPr>
            </w:pPr>
            <w:r w:rsidRPr="00942F1A">
              <w:rPr>
                <w:rFonts w:ascii="Times New Roman" w:eastAsia="宋体" w:hAnsi="Times New Roman" w:cs="Times New Roman"/>
                <w:sz w:val="24"/>
              </w:rPr>
              <w:t>总蛋白</w:t>
            </w:r>
          </w:p>
        </w:tc>
        <w:tc>
          <w:tcPr>
            <w:tcW w:w="2205" w:type="dxa"/>
            <w:tcBorders>
              <w:top w:val="single" w:sz="4" w:space="0" w:color="auto"/>
            </w:tcBorders>
          </w:tcPr>
          <w:p w14:paraId="6FE91697" w14:textId="77777777" w:rsidR="00993AA0" w:rsidRPr="00993AA0" w:rsidRDefault="00993AA0" w:rsidP="00993AA0">
            <w:pPr>
              <w:spacing w:line="480" w:lineRule="auto"/>
              <w:rPr>
                <w:rFonts w:ascii="Times New Roman" w:hAnsi="Times New Roman" w:cs="Times New Roman"/>
                <w:sz w:val="24"/>
              </w:rPr>
            </w:pPr>
            <w:r w:rsidRPr="00993AA0">
              <w:rPr>
                <w:rFonts w:ascii="Times New Roman" w:hAnsi="Times New Roman" w:cs="Times New Roman"/>
                <w:sz w:val="24"/>
              </w:rPr>
              <w:t>194.23 mg/g</w:t>
            </w:r>
          </w:p>
        </w:tc>
      </w:tr>
      <w:tr w:rsidR="00993AA0" w:rsidRPr="00993AA0" w14:paraId="28D3144A" w14:textId="77777777" w:rsidTr="009A7CBE">
        <w:tc>
          <w:tcPr>
            <w:tcW w:w="6091" w:type="dxa"/>
          </w:tcPr>
          <w:p w14:paraId="1C216B7A" w14:textId="289F24F4" w:rsidR="00993AA0" w:rsidRPr="00942F1A" w:rsidRDefault="00942F1A" w:rsidP="00942F1A">
            <w:pPr>
              <w:spacing w:line="360" w:lineRule="auto"/>
              <w:rPr>
                <w:rFonts w:ascii="Times New Roman" w:eastAsia="宋体" w:hAnsi="Times New Roman" w:cs="Times New Roman"/>
                <w:sz w:val="24"/>
              </w:rPr>
            </w:pPr>
            <w:r w:rsidRPr="00942F1A">
              <w:rPr>
                <w:rFonts w:ascii="Times New Roman" w:eastAsia="宋体" w:hAnsi="Times New Roman" w:cs="Times New Roman"/>
                <w:sz w:val="24"/>
              </w:rPr>
              <w:t>总多糖</w:t>
            </w:r>
          </w:p>
        </w:tc>
        <w:tc>
          <w:tcPr>
            <w:tcW w:w="2205" w:type="dxa"/>
          </w:tcPr>
          <w:p w14:paraId="4924EE34" w14:textId="77777777" w:rsidR="00993AA0" w:rsidRPr="00993AA0" w:rsidRDefault="00993AA0" w:rsidP="00993AA0">
            <w:pPr>
              <w:spacing w:line="480" w:lineRule="auto"/>
              <w:rPr>
                <w:rFonts w:ascii="Times New Roman" w:hAnsi="Times New Roman" w:cs="Times New Roman"/>
                <w:sz w:val="24"/>
              </w:rPr>
            </w:pPr>
            <w:r w:rsidRPr="00993AA0">
              <w:rPr>
                <w:rFonts w:ascii="Times New Roman" w:hAnsi="Times New Roman" w:cs="Times New Roman"/>
                <w:sz w:val="24"/>
              </w:rPr>
              <w:t>65.53 mg/g</w:t>
            </w:r>
          </w:p>
        </w:tc>
      </w:tr>
      <w:tr w:rsidR="00993AA0" w:rsidRPr="00993AA0" w14:paraId="6D699481" w14:textId="77777777" w:rsidTr="009A7CBE">
        <w:tc>
          <w:tcPr>
            <w:tcW w:w="6091" w:type="dxa"/>
          </w:tcPr>
          <w:p w14:paraId="7952F817" w14:textId="16799477" w:rsidR="00993AA0" w:rsidRPr="00942F1A" w:rsidRDefault="00942F1A" w:rsidP="00942F1A">
            <w:pPr>
              <w:spacing w:line="360" w:lineRule="auto"/>
              <w:rPr>
                <w:rFonts w:ascii="Times New Roman" w:eastAsia="宋体" w:hAnsi="Times New Roman" w:cs="Times New Roman"/>
                <w:sz w:val="24"/>
              </w:rPr>
            </w:pPr>
            <w:r w:rsidRPr="00942F1A">
              <w:rPr>
                <w:rFonts w:ascii="Times New Roman" w:eastAsia="宋体" w:hAnsi="Times New Roman" w:cs="Times New Roman"/>
                <w:sz w:val="24"/>
              </w:rPr>
              <w:t>总多酚</w:t>
            </w:r>
          </w:p>
        </w:tc>
        <w:tc>
          <w:tcPr>
            <w:tcW w:w="2205" w:type="dxa"/>
          </w:tcPr>
          <w:p w14:paraId="7F049232" w14:textId="417039E0" w:rsidR="00993AA0" w:rsidRPr="00993AA0" w:rsidRDefault="008B3640" w:rsidP="00993AA0">
            <w:pPr>
              <w:spacing w:line="480" w:lineRule="auto"/>
              <w:rPr>
                <w:rFonts w:ascii="Times New Roman" w:hAnsi="Times New Roman" w:cs="Times New Roman"/>
                <w:sz w:val="24"/>
              </w:rPr>
            </w:pPr>
            <w:r>
              <w:rPr>
                <w:rFonts w:ascii="Times New Roman" w:hAnsi="Times New Roman" w:cs="Times New Roman" w:hint="eastAsia"/>
                <w:sz w:val="24"/>
              </w:rPr>
              <w:t>6.29</w:t>
            </w:r>
            <w:r w:rsidR="00745B9E">
              <w:rPr>
                <w:rFonts w:ascii="Times New Roman" w:hAnsi="Times New Roman" w:cs="Times New Roman" w:hint="eastAsia"/>
                <w:sz w:val="24"/>
              </w:rPr>
              <w:t xml:space="preserve"> </w:t>
            </w:r>
            <w:r w:rsidR="00745B9E" w:rsidRPr="00993AA0">
              <w:rPr>
                <w:rFonts w:ascii="Times New Roman" w:hAnsi="Times New Roman" w:cs="Times New Roman"/>
                <w:sz w:val="24"/>
              </w:rPr>
              <w:t>mg/g</w:t>
            </w:r>
          </w:p>
        </w:tc>
      </w:tr>
      <w:tr w:rsidR="00993AA0" w:rsidRPr="00993AA0" w14:paraId="5547A95E" w14:textId="77777777" w:rsidTr="009A7CBE">
        <w:tc>
          <w:tcPr>
            <w:tcW w:w="6091" w:type="dxa"/>
          </w:tcPr>
          <w:p w14:paraId="77C026A7" w14:textId="5145042A" w:rsidR="00993AA0" w:rsidRPr="00942F1A" w:rsidRDefault="00942F1A" w:rsidP="00942F1A">
            <w:pPr>
              <w:spacing w:line="360" w:lineRule="auto"/>
              <w:rPr>
                <w:rFonts w:ascii="Times New Roman" w:eastAsia="宋体" w:hAnsi="Times New Roman" w:cs="Times New Roman"/>
                <w:sz w:val="24"/>
              </w:rPr>
            </w:pPr>
            <w:r w:rsidRPr="00942F1A">
              <w:rPr>
                <w:rFonts w:ascii="Times New Roman" w:eastAsia="宋体" w:hAnsi="Times New Roman" w:cs="Times New Roman"/>
                <w:sz w:val="24"/>
              </w:rPr>
              <w:t>总黄酮</w:t>
            </w:r>
          </w:p>
        </w:tc>
        <w:tc>
          <w:tcPr>
            <w:tcW w:w="2205" w:type="dxa"/>
          </w:tcPr>
          <w:p w14:paraId="2197BD58" w14:textId="5C6D112B" w:rsidR="00993AA0" w:rsidRPr="00993AA0" w:rsidRDefault="008B3640" w:rsidP="00993AA0">
            <w:pPr>
              <w:spacing w:line="480" w:lineRule="auto"/>
              <w:rPr>
                <w:rFonts w:ascii="Times New Roman" w:hAnsi="Times New Roman" w:cs="Times New Roman"/>
                <w:sz w:val="24"/>
              </w:rPr>
            </w:pPr>
            <w:r>
              <w:rPr>
                <w:rFonts w:ascii="Times New Roman" w:hAnsi="Times New Roman" w:cs="Times New Roman" w:hint="eastAsia"/>
                <w:sz w:val="24"/>
              </w:rPr>
              <w:t>24.73</w:t>
            </w:r>
            <w:r w:rsidR="00745B9E">
              <w:rPr>
                <w:rFonts w:ascii="Times New Roman" w:hAnsi="Times New Roman" w:cs="Times New Roman" w:hint="eastAsia"/>
                <w:sz w:val="24"/>
              </w:rPr>
              <w:t xml:space="preserve"> </w:t>
            </w:r>
            <w:r w:rsidR="00745B9E" w:rsidRPr="00993AA0">
              <w:rPr>
                <w:rFonts w:ascii="Times New Roman" w:hAnsi="Times New Roman" w:cs="Times New Roman"/>
                <w:sz w:val="24"/>
              </w:rPr>
              <w:t>mg/g</w:t>
            </w:r>
          </w:p>
        </w:tc>
      </w:tr>
      <w:tr w:rsidR="00993AA0" w:rsidRPr="00993AA0" w14:paraId="3FACE7D1" w14:textId="77777777" w:rsidTr="009A7CBE">
        <w:tc>
          <w:tcPr>
            <w:tcW w:w="6091" w:type="dxa"/>
          </w:tcPr>
          <w:p w14:paraId="44BE14BA" w14:textId="7F1E7252" w:rsidR="00993AA0" w:rsidRPr="00942F1A" w:rsidRDefault="00942F1A" w:rsidP="00942F1A">
            <w:pPr>
              <w:spacing w:line="360" w:lineRule="auto"/>
              <w:rPr>
                <w:rFonts w:ascii="Times New Roman" w:eastAsia="宋体" w:hAnsi="Times New Roman" w:cs="Times New Roman"/>
                <w:color w:val="000000"/>
                <w:sz w:val="24"/>
              </w:rPr>
            </w:pPr>
            <w:r w:rsidRPr="00942F1A">
              <w:rPr>
                <w:rFonts w:ascii="Times New Roman" w:eastAsia="宋体" w:hAnsi="Times New Roman" w:cs="Times New Roman"/>
                <w:color w:val="000000"/>
                <w:sz w:val="24"/>
              </w:rPr>
              <w:t>甘草</w:t>
            </w:r>
            <w:proofErr w:type="gramStart"/>
            <w:r w:rsidRPr="00942F1A">
              <w:rPr>
                <w:rFonts w:ascii="Times New Roman" w:eastAsia="宋体" w:hAnsi="Times New Roman" w:cs="Times New Roman"/>
                <w:color w:val="000000"/>
                <w:sz w:val="24"/>
              </w:rPr>
              <w:t>苷</w:t>
            </w:r>
            <w:proofErr w:type="gramEnd"/>
          </w:p>
        </w:tc>
        <w:tc>
          <w:tcPr>
            <w:tcW w:w="2205" w:type="dxa"/>
          </w:tcPr>
          <w:p w14:paraId="4B2E061A" w14:textId="77777777" w:rsidR="00993AA0" w:rsidRPr="00993AA0" w:rsidRDefault="00993AA0" w:rsidP="00993AA0">
            <w:pPr>
              <w:spacing w:line="480" w:lineRule="auto"/>
              <w:rPr>
                <w:rFonts w:ascii="Times New Roman" w:hAnsi="Times New Roman" w:cs="Times New Roman"/>
                <w:sz w:val="24"/>
              </w:rPr>
            </w:pPr>
            <w:r w:rsidRPr="00993AA0">
              <w:rPr>
                <w:rFonts w:ascii="Times New Roman" w:eastAsia="宋体" w:hAnsi="Times New Roman" w:cs="Times New Roman"/>
                <w:color w:val="000000"/>
                <w:sz w:val="24"/>
                <w:szCs w:val="22"/>
              </w:rPr>
              <w:t xml:space="preserve">6.56 </w:t>
            </w:r>
            <w:r w:rsidRPr="00993AA0">
              <w:rPr>
                <w:rFonts w:ascii="Times New Roman" w:eastAsia="宋体" w:hAnsi="Times New Roman" w:cs="Times New Roman"/>
                <w:sz w:val="24"/>
              </w:rPr>
              <w:t>μg/g</w:t>
            </w:r>
          </w:p>
        </w:tc>
      </w:tr>
      <w:tr w:rsidR="00993AA0" w:rsidRPr="00993AA0" w14:paraId="3C570739" w14:textId="77777777" w:rsidTr="009A7CBE">
        <w:tc>
          <w:tcPr>
            <w:tcW w:w="6091" w:type="dxa"/>
          </w:tcPr>
          <w:p w14:paraId="674604A1" w14:textId="397F2CA6" w:rsidR="00993AA0" w:rsidRPr="00942F1A" w:rsidRDefault="00942F1A" w:rsidP="00942F1A">
            <w:pPr>
              <w:spacing w:line="360" w:lineRule="auto"/>
              <w:rPr>
                <w:rFonts w:ascii="Times New Roman" w:eastAsia="宋体" w:hAnsi="Times New Roman" w:cs="Times New Roman"/>
                <w:color w:val="000000"/>
                <w:sz w:val="24"/>
              </w:rPr>
            </w:pPr>
            <w:r w:rsidRPr="00942F1A">
              <w:rPr>
                <w:rFonts w:ascii="Times New Roman" w:eastAsia="宋体" w:hAnsi="Times New Roman" w:cs="Times New Roman"/>
                <w:color w:val="000000"/>
                <w:sz w:val="24"/>
              </w:rPr>
              <w:t>橙皮</w:t>
            </w:r>
            <w:proofErr w:type="gramStart"/>
            <w:r w:rsidRPr="00942F1A">
              <w:rPr>
                <w:rFonts w:ascii="Times New Roman" w:eastAsia="宋体" w:hAnsi="Times New Roman" w:cs="Times New Roman"/>
                <w:color w:val="000000"/>
                <w:sz w:val="24"/>
              </w:rPr>
              <w:t>苷</w:t>
            </w:r>
            <w:proofErr w:type="gramEnd"/>
          </w:p>
        </w:tc>
        <w:tc>
          <w:tcPr>
            <w:tcW w:w="2205" w:type="dxa"/>
          </w:tcPr>
          <w:p w14:paraId="042C8E2D" w14:textId="77777777" w:rsidR="00993AA0" w:rsidRPr="00993AA0" w:rsidRDefault="00993AA0" w:rsidP="00993AA0">
            <w:pPr>
              <w:spacing w:line="480" w:lineRule="auto"/>
              <w:rPr>
                <w:rFonts w:ascii="Times New Roman" w:hAnsi="Times New Roman" w:cs="Times New Roman"/>
                <w:b/>
                <w:bCs/>
                <w:sz w:val="24"/>
              </w:rPr>
            </w:pPr>
            <w:r w:rsidRPr="00993AA0">
              <w:rPr>
                <w:rFonts w:ascii="Times New Roman" w:eastAsia="宋体" w:hAnsi="Times New Roman" w:cs="Times New Roman"/>
                <w:color w:val="000000"/>
                <w:sz w:val="24"/>
                <w:szCs w:val="22"/>
              </w:rPr>
              <w:t xml:space="preserve">1173.74 </w:t>
            </w:r>
            <w:r w:rsidRPr="00993AA0">
              <w:rPr>
                <w:rFonts w:ascii="Times New Roman" w:eastAsia="宋体" w:hAnsi="Times New Roman" w:cs="Times New Roman"/>
                <w:sz w:val="24"/>
              </w:rPr>
              <w:t>μg/g</w:t>
            </w:r>
          </w:p>
        </w:tc>
      </w:tr>
      <w:tr w:rsidR="00993AA0" w:rsidRPr="00993AA0" w14:paraId="3E83B92D" w14:textId="77777777" w:rsidTr="009A7CBE">
        <w:tc>
          <w:tcPr>
            <w:tcW w:w="6091" w:type="dxa"/>
          </w:tcPr>
          <w:p w14:paraId="71BCFC5B" w14:textId="209F1E74" w:rsidR="00993AA0" w:rsidRPr="00942F1A" w:rsidRDefault="00942F1A" w:rsidP="00942F1A">
            <w:pPr>
              <w:spacing w:line="360" w:lineRule="auto"/>
              <w:rPr>
                <w:rFonts w:ascii="Times New Roman" w:eastAsia="宋体" w:hAnsi="Times New Roman" w:cs="Times New Roman"/>
                <w:b/>
                <w:bCs/>
                <w:sz w:val="24"/>
              </w:rPr>
            </w:pPr>
            <w:r w:rsidRPr="00942F1A">
              <w:rPr>
                <w:rFonts w:ascii="Times New Roman" w:eastAsia="宋体" w:hAnsi="Times New Roman" w:cs="Times New Roman"/>
                <w:color w:val="000000"/>
                <w:sz w:val="24"/>
              </w:rPr>
              <w:t>漆黃素</w:t>
            </w:r>
          </w:p>
        </w:tc>
        <w:tc>
          <w:tcPr>
            <w:tcW w:w="2205" w:type="dxa"/>
          </w:tcPr>
          <w:p w14:paraId="7A2A296A" w14:textId="77777777" w:rsidR="00993AA0" w:rsidRPr="00993AA0" w:rsidRDefault="00993AA0" w:rsidP="00993AA0">
            <w:pPr>
              <w:spacing w:line="480" w:lineRule="auto"/>
              <w:rPr>
                <w:rFonts w:ascii="Times New Roman" w:hAnsi="Times New Roman" w:cs="Times New Roman"/>
                <w:b/>
                <w:bCs/>
                <w:sz w:val="24"/>
              </w:rPr>
            </w:pPr>
            <w:r w:rsidRPr="00993AA0">
              <w:rPr>
                <w:rFonts w:ascii="Times New Roman" w:eastAsia="宋体" w:hAnsi="Times New Roman" w:cs="Times New Roman"/>
                <w:color w:val="000000"/>
                <w:sz w:val="24"/>
                <w:szCs w:val="22"/>
              </w:rPr>
              <w:t xml:space="preserve">2.53 </w:t>
            </w:r>
            <w:r w:rsidRPr="00993AA0">
              <w:rPr>
                <w:rFonts w:ascii="Times New Roman" w:eastAsia="宋体" w:hAnsi="Times New Roman" w:cs="Times New Roman"/>
                <w:sz w:val="24"/>
              </w:rPr>
              <w:t>μg/g</w:t>
            </w:r>
          </w:p>
        </w:tc>
      </w:tr>
      <w:tr w:rsidR="00993AA0" w:rsidRPr="00993AA0" w14:paraId="1439F4B6" w14:textId="77777777" w:rsidTr="009A7CBE">
        <w:tc>
          <w:tcPr>
            <w:tcW w:w="6091" w:type="dxa"/>
          </w:tcPr>
          <w:p w14:paraId="5E63BBF4" w14:textId="04C8DF01" w:rsidR="00993AA0" w:rsidRPr="00942F1A" w:rsidRDefault="00942F1A" w:rsidP="00942F1A">
            <w:pPr>
              <w:spacing w:line="360" w:lineRule="auto"/>
              <w:rPr>
                <w:rFonts w:ascii="Times New Roman" w:eastAsia="宋体" w:hAnsi="Times New Roman" w:cs="Times New Roman"/>
                <w:color w:val="000000"/>
                <w:sz w:val="24"/>
              </w:rPr>
            </w:pPr>
            <w:r w:rsidRPr="00942F1A">
              <w:rPr>
                <w:rFonts w:ascii="Times New Roman" w:eastAsia="宋体" w:hAnsi="Times New Roman" w:cs="Times New Roman"/>
                <w:color w:val="000000"/>
                <w:sz w:val="24"/>
              </w:rPr>
              <w:t>大豆素</w:t>
            </w:r>
          </w:p>
        </w:tc>
        <w:tc>
          <w:tcPr>
            <w:tcW w:w="2205" w:type="dxa"/>
          </w:tcPr>
          <w:p w14:paraId="332E59DB" w14:textId="77777777" w:rsidR="00993AA0" w:rsidRPr="00993AA0" w:rsidRDefault="00993AA0" w:rsidP="00993AA0">
            <w:pPr>
              <w:spacing w:line="480" w:lineRule="auto"/>
              <w:rPr>
                <w:rFonts w:ascii="Times New Roman" w:eastAsia="宋体" w:hAnsi="Times New Roman" w:cs="Times New Roman"/>
                <w:color w:val="000000"/>
                <w:sz w:val="24"/>
                <w:szCs w:val="22"/>
              </w:rPr>
            </w:pPr>
            <w:r w:rsidRPr="00993AA0">
              <w:rPr>
                <w:rFonts w:ascii="Times New Roman" w:eastAsia="宋体" w:hAnsi="Times New Roman" w:cs="Times New Roman"/>
                <w:color w:val="000000"/>
                <w:sz w:val="24"/>
                <w:szCs w:val="22"/>
              </w:rPr>
              <w:t xml:space="preserve">29.60 </w:t>
            </w:r>
            <w:r w:rsidRPr="00993AA0">
              <w:rPr>
                <w:rFonts w:ascii="Times New Roman" w:eastAsia="宋体" w:hAnsi="Times New Roman" w:cs="Times New Roman"/>
                <w:sz w:val="24"/>
              </w:rPr>
              <w:t>μg/g</w:t>
            </w:r>
          </w:p>
        </w:tc>
      </w:tr>
      <w:tr w:rsidR="00993AA0" w:rsidRPr="00993AA0" w14:paraId="25300DF6" w14:textId="77777777" w:rsidTr="009A7CBE">
        <w:tc>
          <w:tcPr>
            <w:tcW w:w="6091" w:type="dxa"/>
          </w:tcPr>
          <w:p w14:paraId="0E6DAEE8" w14:textId="45ECCD10" w:rsidR="00993AA0" w:rsidRPr="00942F1A" w:rsidRDefault="00942F1A" w:rsidP="00942F1A">
            <w:pPr>
              <w:spacing w:line="360" w:lineRule="auto"/>
              <w:rPr>
                <w:rFonts w:ascii="Times New Roman" w:eastAsia="宋体" w:hAnsi="Times New Roman" w:cs="Times New Roman"/>
                <w:color w:val="000000"/>
                <w:sz w:val="24"/>
              </w:rPr>
            </w:pPr>
            <w:r w:rsidRPr="00942F1A">
              <w:rPr>
                <w:rFonts w:ascii="Times New Roman" w:eastAsia="宋体" w:hAnsi="Times New Roman" w:cs="Times New Roman"/>
                <w:color w:val="000000"/>
                <w:sz w:val="24"/>
              </w:rPr>
              <w:t>染料木素</w:t>
            </w:r>
          </w:p>
        </w:tc>
        <w:tc>
          <w:tcPr>
            <w:tcW w:w="2205" w:type="dxa"/>
          </w:tcPr>
          <w:p w14:paraId="20DBA405" w14:textId="77777777" w:rsidR="00993AA0" w:rsidRPr="00993AA0" w:rsidRDefault="00993AA0" w:rsidP="00993AA0">
            <w:pPr>
              <w:spacing w:line="480" w:lineRule="auto"/>
              <w:rPr>
                <w:rFonts w:ascii="Times New Roman" w:eastAsia="宋体" w:hAnsi="Times New Roman" w:cs="Times New Roman"/>
                <w:color w:val="000000"/>
                <w:sz w:val="24"/>
                <w:szCs w:val="22"/>
              </w:rPr>
            </w:pPr>
            <w:r w:rsidRPr="00993AA0">
              <w:rPr>
                <w:rFonts w:ascii="Times New Roman" w:eastAsia="宋体" w:hAnsi="Times New Roman" w:cs="Times New Roman"/>
                <w:color w:val="000000"/>
                <w:sz w:val="24"/>
                <w:szCs w:val="22"/>
              </w:rPr>
              <w:t xml:space="preserve">48.97 </w:t>
            </w:r>
            <w:r w:rsidRPr="00993AA0">
              <w:rPr>
                <w:rFonts w:ascii="Times New Roman" w:eastAsia="宋体" w:hAnsi="Times New Roman" w:cs="Times New Roman"/>
                <w:sz w:val="24"/>
              </w:rPr>
              <w:t>μg/g</w:t>
            </w:r>
          </w:p>
        </w:tc>
      </w:tr>
      <w:tr w:rsidR="00993AA0" w:rsidRPr="00993AA0" w14:paraId="4228DA1D" w14:textId="77777777" w:rsidTr="009A7CBE">
        <w:tc>
          <w:tcPr>
            <w:tcW w:w="6091" w:type="dxa"/>
          </w:tcPr>
          <w:p w14:paraId="3F946E69" w14:textId="076CFF01" w:rsidR="00993AA0" w:rsidRPr="00942F1A" w:rsidRDefault="00942F1A" w:rsidP="00942F1A">
            <w:pPr>
              <w:spacing w:line="360" w:lineRule="auto"/>
              <w:rPr>
                <w:rFonts w:ascii="Times New Roman" w:eastAsia="宋体" w:hAnsi="Times New Roman" w:cs="Times New Roman"/>
                <w:color w:val="000000"/>
                <w:sz w:val="24"/>
              </w:rPr>
            </w:pPr>
            <w:r w:rsidRPr="00942F1A">
              <w:rPr>
                <w:rFonts w:ascii="Times New Roman" w:eastAsia="宋体" w:hAnsi="Times New Roman" w:cs="Times New Roman"/>
                <w:color w:val="000000"/>
                <w:sz w:val="24"/>
              </w:rPr>
              <w:t>补</w:t>
            </w:r>
            <w:proofErr w:type="gramStart"/>
            <w:r w:rsidRPr="00942F1A">
              <w:rPr>
                <w:rFonts w:ascii="Times New Roman" w:eastAsia="宋体" w:hAnsi="Times New Roman" w:cs="Times New Roman"/>
                <w:color w:val="000000"/>
                <w:sz w:val="24"/>
              </w:rPr>
              <w:t>骨脂甲素</w:t>
            </w:r>
            <w:proofErr w:type="gramEnd"/>
          </w:p>
        </w:tc>
        <w:tc>
          <w:tcPr>
            <w:tcW w:w="2205" w:type="dxa"/>
          </w:tcPr>
          <w:p w14:paraId="3C5C7608" w14:textId="77777777" w:rsidR="00993AA0" w:rsidRPr="00993AA0" w:rsidRDefault="00993AA0" w:rsidP="00993AA0">
            <w:pPr>
              <w:spacing w:line="480" w:lineRule="auto"/>
              <w:rPr>
                <w:rFonts w:ascii="Times New Roman" w:eastAsia="宋体" w:hAnsi="Times New Roman" w:cs="Times New Roman"/>
                <w:color w:val="000000"/>
                <w:sz w:val="24"/>
                <w:szCs w:val="22"/>
              </w:rPr>
            </w:pPr>
            <w:r w:rsidRPr="00993AA0">
              <w:rPr>
                <w:rFonts w:ascii="Times New Roman" w:eastAsia="宋体" w:hAnsi="Times New Roman" w:cs="Times New Roman"/>
                <w:color w:val="000000"/>
                <w:sz w:val="24"/>
                <w:szCs w:val="22"/>
              </w:rPr>
              <w:t xml:space="preserve">17.94 </w:t>
            </w:r>
            <w:r w:rsidRPr="00993AA0">
              <w:rPr>
                <w:rFonts w:ascii="Times New Roman" w:eastAsia="宋体" w:hAnsi="Times New Roman" w:cs="Times New Roman"/>
                <w:sz w:val="24"/>
              </w:rPr>
              <w:t>μg/g</w:t>
            </w:r>
          </w:p>
        </w:tc>
      </w:tr>
      <w:tr w:rsidR="00993AA0" w:rsidRPr="00993AA0" w14:paraId="2B9E7C51" w14:textId="77777777" w:rsidTr="009A7CBE">
        <w:tc>
          <w:tcPr>
            <w:tcW w:w="6091" w:type="dxa"/>
          </w:tcPr>
          <w:p w14:paraId="34444FC5" w14:textId="5D966DED" w:rsidR="00993AA0" w:rsidRPr="00942F1A" w:rsidRDefault="00942F1A" w:rsidP="00942F1A">
            <w:pPr>
              <w:spacing w:line="360" w:lineRule="auto"/>
              <w:rPr>
                <w:rFonts w:ascii="Times New Roman" w:eastAsia="宋体" w:hAnsi="Times New Roman" w:cs="Times New Roman"/>
                <w:color w:val="000000"/>
                <w:sz w:val="24"/>
              </w:rPr>
            </w:pPr>
            <w:r w:rsidRPr="00942F1A">
              <w:rPr>
                <w:rFonts w:ascii="Times New Roman" w:eastAsia="宋体" w:hAnsi="Times New Roman" w:cs="Times New Roman"/>
                <w:color w:val="000000"/>
                <w:sz w:val="24"/>
              </w:rPr>
              <w:t>补</w:t>
            </w:r>
            <w:proofErr w:type="gramStart"/>
            <w:r w:rsidRPr="00942F1A">
              <w:rPr>
                <w:rFonts w:ascii="Times New Roman" w:eastAsia="宋体" w:hAnsi="Times New Roman" w:cs="Times New Roman"/>
                <w:color w:val="000000"/>
                <w:sz w:val="24"/>
              </w:rPr>
              <w:t>骨脂宁</w:t>
            </w:r>
            <w:proofErr w:type="gramEnd"/>
          </w:p>
        </w:tc>
        <w:tc>
          <w:tcPr>
            <w:tcW w:w="2205" w:type="dxa"/>
          </w:tcPr>
          <w:p w14:paraId="3BB50C1D" w14:textId="77777777" w:rsidR="00993AA0" w:rsidRPr="00993AA0" w:rsidRDefault="00993AA0" w:rsidP="00993AA0">
            <w:pPr>
              <w:spacing w:line="480" w:lineRule="auto"/>
              <w:rPr>
                <w:rFonts w:ascii="Times New Roman" w:eastAsia="宋体" w:hAnsi="Times New Roman" w:cs="Times New Roman"/>
                <w:color w:val="000000"/>
                <w:sz w:val="24"/>
                <w:szCs w:val="22"/>
              </w:rPr>
            </w:pPr>
            <w:r w:rsidRPr="00993AA0">
              <w:rPr>
                <w:rFonts w:ascii="Times New Roman" w:eastAsia="宋体" w:hAnsi="Times New Roman" w:cs="Times New Roman"/>
                <w:color w:val="000000"/>
                <w:sz w:val="24"/>
                <w:szCs w:val="22"/>
              </w:rPr>
              <w:t xml:space="preserve">2.03 </w:t>
            </w:r>
            <w:r w:rsidRPr="00993AA0">
              <w:rPr>
                <w:rFonts w:ascii="Times New Roman" w:eastAsia="宋体" w:hAnsi="Times New Roman" w:cs="Times New Roman"/>
                <w:sz w:val="24"/>
              </w:rPr>
              <w:t>μg/g</w:t>
            </w:r>
          </w:p>
        </w:tc>
      </w:tr>
    </w:tbl>
    <w:p w14:paraId="60522836" w14:textId="77777777" w:rsidR="003A5D1F" w:rsidRDefault="003A5D1F">
      <w:pPr>
        <w:widowControl/>
        <w:rPr>
          <w:rFonts w:ascii="Times New Roman" w:eastAsia="宋体" w:hAnsi="Times New Roman" w:cs="Times New Roman"/>
          <w:b/>
          <w:bCs/>
        </w:rPr>
      </w:pPr>
    </w:p>
    <w:p w14:paraId="3223DA27" w14:textId="2474E1E9" w:rsidR="003A5D1F" w:rsidRDefault="003A5D1F" w:rsidP="003A5D1F">
      <w:pPr>
        <w:widowControl/>
        <w:rPr>
          <w:rFonts w:ascii="Times New Roman" w:eastAsia="宋体" w:hAnsi="Times New Roman" w:cs="Times New Roman"/>
          <w:b/>
          <w:bCs/>
        </w:rPr>
      </w:pPr>
      <w:r>
        <w:rPr>
          <w:rFonts w:ascii="Times New Roman" w:eastAsia="宋体" w:hAnsi="Times New Roman" w:cs="Times New Roman"/>
          <w:b/>
          <w:bCs/>
        </w:rPr>
        <w:br w:type="page"/>
      </w:r>
    </w:p>
    <w:p w14:paraId="74E02A8E" w14:textId="77777777" w:rsidR="003A5D1F" w:rsidRDefault="003A5D1F" w:rsidP="00DB6CD5">
      <w:pPr>
        <w:spacing w:line="360" w:lineRule="auto"/>
        <w:jc w:val="both"/>
        <w:rPr>
          <w:rFonts w:ascii="Times New Roman" w:eastAsia="宋体" w:hAnsi="Times New Roman" w:cs="Times New Roman"/>
          <w:b/>
          <w:bCs/>
        </w:rPr>
        <w:sectPr w:rsidR="003A5D1F" w:rsidSect="00DB6CD5">
          <w:pgSz w:w="11906" w:h="16838"/>
          <w:pgMar w:top="1440" w:right="1800" w:bottom="1440" w:left="1800" w:header="851" w:footer="992" w:gutter="0"/>
          <w:cols w:space="425"/>
          <w:docGrid w:type="lines" w:linePitch="312"/>
        </w:sectPr>
      </w:pPr>
    </w:p>
    <w:p w14:paraId="7A2D7A49" w14:textId="0933F1C0" w:rsidR="00787914" w:rsidRPr="001E4E95" w:rsidRDefault="00A56677" w:rsidP="001E4E95">
      <w:pPr>
        <w:pStyle w:val="ListParagraph"/>
        <w:numPr>
          <w:ilvl w:val="1"/>
          <w:numId w:val="10"/>
        </w:numPr>
        <w:spacing w:line="360" w:lineRule="auto"/>
        <w:ind w:left="499" w:hanging="499"/>
        <w:jc w:val="both"/>
        <w:rPr>
          <w:rFonts w:ascii="Times New Roman" w:eastAsia="宋体" w:hAnsi="Times New Roman" w:cs="Times New Roman"/>
          <w:b/>
          <w:bCs/>
        </w:rPr>
      </w:pPr>
      <w:r w:rsidRPr="001E4E95">
        <w:rPr>
          <w:rFonts w:ascii="Times New Roman" w:eastAsia="宋体" w:hAnsi="Times New Roman" w:cs="Times New Roman"/>
          <w:b/>
          <w:bCs/>
          <w:sz w:val="24"/>
          <w:szCs w:val="28"/>
        </w:rPr>
        <w:lastRenderedPageBreak/>
        <w:t>DIGESTIVE CARE</w:t>
      </w:r>
      <w:r w:rsidR="001D1E6F">
        <w:rPr>
          <w:rFonts w:ascii="Times New Roman" w:eastAsia="宋体" w:hAnsi="Times New Roman" w:cs="Times New Roman" w:hint="eastAsia"/>
          <w:b/>
          <w:bCs/>
          <w:sz w:val="24"/>
          <w:szCs w:val="28"/>
        </w:rPr>
        <w:t>的</w:t>
      </w:r>
      <w:r w:rsidR="00787914" w:rsidRPr="001E4E95">
        <w:rPr>
          <w:rFonts w:ascii="Times New Roman" w:eastAsia="宋体" w:hAnsi="Times New Roman" w:cs="Times New Roman"/>
          <w:b/>
          <w:bCs/>
        </w:rPr>
        <w:t>主要化学成分活性综述</w:t>
      </w: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3355"/>
        <w:gridCol w:w="10133"/>
      </w:tblGrid>
      <w:tr w:rsidR="00E95036" w:rsidRPr="00082425" w14:paraId="7CC46F7E" w14:textId="57823B43" w:rsidTr="00EF2D00">
        <w:tc>
          <w:tcPr>
            <w:tcW w:w="829" w:type="dxa"/>
            <w:tcBorders>
              <w:top w:val="single" w:sz="4" w:space="0" w:color="auto"/>
              <w:bottom w:val="single" w:sz="4" w:space="0" w:color="auto"/>
            </w:tcBorders>
          </w:tcPr>
          <w:p w14:paraId="3A116650" w14:textId="141024AA" w:rsidR="00E95036" w:rsidRPr="00082425" w:rsidRDefault="00E95036" w:rsidP="00C45543">
            <w:pPr>
              <w:spacing w:line="360" w:lineRule="auto"/>
              <w:rPr>
                <w:rFonts w:ascii="Times New Roman" w:eastAsia="宋体" w:hAnsi="Times New Roman" w:cs="Times New Roman"/>
                <w:b/>
                <w:bCs/>
              </w:rPr>
            </w:pPr>
            <w:r w:rsidRPr="00082425">
              <w:rPr>
                <w:rFonts w:ascii="Times New Roman" w:eastAsia="宋体" w:hAnsi="Times New Roman" w:cs="Times New Roman"/>
                <w:b/>
                <w:bCs/>
              </w:rPr>
              <w:t>编号</w:t>
            </w:r>
          </w:p>
        </w:tc>
        <w:tc>
          <w:tcPr>
            <w:tcW w:w="3355" w:type="dxa"/>
            <w:tcBorders>
              <w:top w:val="single" w:sz="4" w:space="0" w:color="auto"/>
              <w:bottom w:val="single" w:sz="4" w:space="0" w:color="auto"/>
            </w:tcBorders>
          </w:tcPr>
          <w:p w14:paraId="488EE61A" w14:textId="13006E92" w:rsidR="00E95036" w:rsidRPr="00082425" w:rsidRDefault="00E95036" w:rsidP="00C45543">
            <w:pPr>
              <w:spacing w:line="360" w:lineRule="auto"/>
              <w:rPr>
                <w:rFonts w:ascii="Times New Roman" w:eastAsia="宋体" w:hAnsi="Times New Roman" w:cs="Times New Roman"/>
                <w:b/>
                <w:bCs/>
              </w:rPr>
            </w:pPr>
            <w:r w:rsidRPr="00082425">
              <w:rPr>
                <w:rFonts w:ascii="Times New Roman" w:eastAsia="宋体" w:hAnsi="Times New Roman" w:cs="Times New Roman"/>
                <w:b/>
                <w:bCs/>
              </w:rPr>
              <w:t>化学成分名称</w:t>
            </w:r>
          </w:p>
        </w:tc>
        <w:tc>
          <w:tcPr>
            <w:tcW w:w="10133" w:type="dxa"/>
            <w:tcBorders>
              <w:top w:val="single" w:sz="4" w:space="0" w:color="auto"/>
              <w:bottom w:val="single" w:sz="4" w:space="0" w:color="auto"/>
            </w:tcBorders>
          </w:tcPr>
          <w:p w14:paraId="2D1E4186" w14:textId="40344619" w:rsidR="00E95036" w:rsidRPr="00082425" w:rsidRDefault="00E95036" w:rsidP="00C45543">
            <w:pPr>
              <w:spacing w:line="360" w:lineRule="auto"/>
              <w:rPr>
                <w:rFonts w:ascii="Times New Roman" w:eastAsia="宋体" w:hAnsi="Times New Roman" w:cs="Times New Roman"/>
                <w:b/>
                <w:bCs/>
              </w:rPr>
            </w:pPr>
            <w:r w:rsidRPr="00082425">
              <w:rPr>
                <w:rFonts w:ascii="Times New Roman" w:eastAsia="宋体" w:hAnsi="Times New Roman" w:cs="Times New Roman"/>
                <w:b/>
                <w:bCs/>
              </w:rPr>
              <w:t>主要生物活性</w:t>
            </w:r>
          </w:p>
        </w:tc>
      </w:tr>
      <w:tr w:rsidR="00E95036" w:rsidRPr="00082425" w14:paraId="4D25B16B" w14:textId="0AFE7821" w:rsidTr="00EF2D00">
        <w:tc>
          <w:tcPr>
            <w:tcW w:w="829" w:type="dxa"/>
          </w:tcPr>
          <w:p w14:paraId="09CCCBDF" w14:textId="3BB7BF70" w:rsidR="00E95036" w:rsidRPr="00082425" w:rsidRDefault="007F7180" w:rsidP="00A872CD">
            <w:pPr>
              <w:spacing w:line="360" w:lineRule="auto"/>
              <w:rPr>
                <w:rFonts w:ascii="Times New Roman" w:eastAsia="宋体" w:hAnsi="Times New Roman" w:cs="Times New Roman"/>
              </w:rPr>
            </w:pPr>
            <w:r w:rsidRPr="00082425">
              <w:rPr>
                <w:rFonts w:ascii="Times New Roman" w:eastAsia="宋体" w:hAnsi="Times New Roman" w:cs="Times New Roman"/>
              </w:rPr>
              <w:t>1</w:t>
            </w:r>
          </w:p>
        </w:tc>
        <w:tc>
          <w:tcPr>
            <w:tcW w:w="3355" w:type="dxa"/>
          </w:tcPr>
          <w:p w14:paraId="10B5D240" w14:textId="1BECC9BB" w:rsidR="00E95036" w:rsidRPr="00082425" w:rsidRDefault="003275BD" w:rsidP="00A872CD">
            <w:pPr>
              <w:spacing w:line="360" w:lineRule="auto"/>
              <w:rPr>
                <w:rFonts w:ascii="Times New Roman" w:eastAsia="宋体" w:hAnsi="Times New Roman" w:cs="Times New Roman"/>
              </w:rPr>
            </w:pPr>
            <w:r w:rsidRPr="00082425">
              <w:rPr>
                <w:rFonts w:ascii="Times New Roman" w:eastAsia="宋体" w:hAnsi="Times New Roman" w:cs="Times New Roman"/>
              </w:rPr>
              <w:t>Leonoside A</w:t>
            </w:r>
          </w:p>
        </w:tc>
        <w:tc>
          <w:tcPr>
            <w:tcW w:w="10133" w:type="dxa"/>
          </w:tcPr>
          <w:p w14:paraId="598F21B1" w14:textId="637651DA" w:rsidR="00030F64" w:rsidRPr="00082425" w:rsidRDefault="00030F64" w:rsidP="00030F64">
            <w:pPr>
              <w:spacing w:line="360" w:lineRule="auto"/>
              <w:rPr>
                <w:rFonts w:ascii="Times New Roman" w:eastAsia="宋体" w:hAnsi="Times New Roman" w:cs="Times New Roman"/>
              </w:rPr>
            </w:pPr>
            <w:r w:rsidRPr="00082425">
              <w:rPr>
                <w:rFonts w:ascii="Times New Roman" w:eastAsia="宋体" w:hAnsi="Times New Roman" w:cs="Times New Roman"/>
              </w:rPr>
              <w:t>其生物活性主要为抗氧化</w:t>
            </w:r>
            <w:r w:rsidR="00D5298A" w:rsidRPr="00082425">
              <w:rPr>
                <w:rFonts w:ascii="Times New Roman" w:eastAsia="宋体" w:hAnsi="Times New Roman" w:cs="Times New Roman"/>
              </w:rPr>
              <w:t>作用</w:t>
            </w:r>
            <w:r w:rsidR="00D1461A" w:rsidRPr="00082425">
              <w:rPr>
                <w:rFonts w:ascii="Times New Roman" w:eastAsia="宋体" w:hAnsi="Times New Roman" w:cs="Times New Roman"/>
              </w:rPr>
              <w:t>。</w:t>
            </w:r>
          </w:p>
          <w:p w14:paraId="2A4FA97C" w14:textId="0B5C6450" w:rsidR="00E95036" w:rsidRPr="00082425" w:rsidRDefault="00030F64" w:rsidP="00B63D80">
            <w:pPr>
              <w:spacing w:line="360" w:lineRule="auto"/>
              <w:jc w:val="both"/>
              <w:rPr>
                <w:rFonts w:ascii="Times New Roman" w:eastAsia="宋体" w:hAnsi="Times New Roman" w:cs="Times New Roman"/>
              </w:rPr>
            </w:pPr>
            <w:r w:rsidRPr="00082425">
              <w:rPr>
                <w:rFonts w:ascii="Times New Roman" w:eastAsia="宋体" w:hAnsi="Times New Roman" w:cs="Times New Roman"/>
              </w:rPr>
              <w:t>目前，</w:t>
            </w:r>
            <w:r w:rsidRPr="00082425">
              <w:rPr>
                <w:rFonts w:ascii="Times New Roman" w:eastAsia="宋体" w:hAnsi="Times New Roman" w:cs="Times New Roman"/>
              </w:rPr>
              <w:t>Leonoside A</w:t>
            </w:r>
            <w:r w:rsidRPr="00082425">
              <w:rPr>
                <w:rFonts w:ascii="Times New Roman" w:eastAsia="宋体" w:hAnsi="Times New Roman" w:cs="Times New Roman"/>
              </w:rPr>
              <w:t>的生物活性报道主要为抗氧化作用</w:t>
            </w:r>
            <w:r w:rsidR="00D5298A"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{"citationID":"WTb8FuSp","properties":{"formattedCitation":"\\super [1]\\nosupersub{}","plainCitation":"[1]","noteIndex":0},"citationItems":[{"id":5979,"uris":["http://zotero.org/users/8103267/items/EZ9ZYHYX"],"itemData":{"id":5979,"type":"article-journal","abstract":"From the MeOH extract of Sideritis trojana, a new iridoid glycoside, 10-O-(E)-feruloylmelittoside (1) was obtained in addition to four known iridoid glycosides [melittoside (2), 10-O-(E)-p-coumaroylmelittoside (3), stachysosides E (4) and G (5)]. Moreover, five phenylethanoid glycosides [verbascoside (6), isoacteoside (7), lamalboside (8), leonoside A (9), isolavandulifolioside (10), three flavone glycosides (isoscutellarein 7-O-[6'''-O-acetyl-β-allopyranosyl-(1→2)]-β-glucopyranoside (11), 4'-O-methyisoscutellarein 7-O-[6'''-O-acetyl-β-allopyranosyl-(1→2)]-β-glucopyranoside (12), 3'-hydroxy-4'-O-methyisoscutellarein 7-O-[6'''-O-acetyl-β-allopyranosyl-(1→2)]-β-glucopyranoside (13) and a benzylalcohol derivative (di-O-methylcrenatin) were obtained and identified. The structures were elucidated on the basis of NMR and HRMS data. All compounds were tested for their antioxidant activity by in vitro TEAC assay and some of them exhibited moderate activity (0.97-1.44 mM) when compared with the reference compound (quercetin 1.86 mM). Glycosides 6-13, the most active compounds in the TEAC assay, were also tested by flow cytometry to evaluate their ability to affect the levels of reactive oxygen species (ROS) in human prostate cancer cells (PC3).","container-title":"Fitoterapia","DOI":"10.1016/j.fitote.2011.10.003","ISSN":"1873-6971","issue":"1","journalAbbreviation":"Fitoterapia","language":"eng","page":"130-136","PMID":"22024633","source":"PubMed","title":"Iridoid, phenylethanoid and flavonoid glycosides from Sideritis trojana","volume":"83","author":[{"family":"Kirmizibekmez","given":"Hasan"},{"family":"Ariburnu","given":"Etil"},{"family":"Masullo","given":"Milena"},{"family":"Festa","given":"Michela"},{"family":"Capasso","given":"Anna"},{"family":"Yesilada","given":"Erdem"},{"family":"Piacente","given":"Sonia"}],"issued":{"date-parts":[["2012",1]]}}}],"schema":"https://github.com/citation-style-language/schema/raw/master/csl-citation.json"} </w:instrText>
            </w:r>
            <w:r w:rsidR="00D5298A"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w:t>
            </w:r>
            <w:r w:rsidR="00D5298A"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Pr="00082425">
              <w:rPr>
                <w:rFonts w:ascii="Times New Roman" w:eastAsia="宋体" w:hAnsi="Times New Roman" w:cs="Times New Roman"/>
              </w:rPr>
              <w:t>Leonoside</w:t>
            </w:r>
            <w:r w:rsidRPr="00082425">
              <w:rPr>
                <w:rFonts w:ascii="Times New Roman" w:eastAsia="宋体" w:hAnsi="Times New Roman" w:cs="Times New Roman"/>
              </w:rPr>
              <w:t>类化合物</w:t>
            </w:r>
            <w:r w:rsidRPr="00082425">
              <w:rPr>
                <w:rFonts w:ascii="Times New Roman" w:eastAsia="宋体" w:hAnsi="Times New Roman" w:cs="Times New Roman"/>
              </w:rPr>
              <w:t xml:space="preserve">Leonoside F </w:t>
            </w:r>
            <w:r w:rsidRPr="00082425">
              <w:rPr>
                <w:rFonts w:ascii="Times New Roman" w:eastAsia="宋体" w:hAnsi="Times New Roman" w:cs="Times New Roman"/>
              </w:rPr>
              <w:t>已被证实具有保护肝细胞免受化学诱导损伤的活性</w:t>
            </w:r>
            <w:r w:rsidR="004A1DB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{"citationID":"TpkHORgM","properties":{"formattedCitation":"\\super [2]\\nosupersub{}","plainCitation":"[2]","noteIndex":0},"citationItems":[{"id":6002,"uris":["http://zotero.org/users/8103267/items/VD2MN33H"],"itemData":{"id":6002,"type":"article-journal","abstract":"Two new phenylethanoid glycosides 1 and 2 named leonoside E and leonoside F, and one new sesquiterpene glycoside (3) identified as 7α (H)-eudesmane-4,11 (12)-diene-3-one-2β-hydroxy-13-β-d-glucopyranoside, together with seven known glycosides (4-10), were isolated from the aerial part of Leonurus japonicus Houtt. Their structures were elucidated on the basis of spectroscopic data and chemical evidence. When tested in in vitro assays, compounds 1, 2, 4, and 6 exhibited potent hepatoprotective activity against d-galactosamine-induced toxicity in HL-7702 cells at concentration of 1×10(-5) M.","container-title":"Carbohydrate Research","DOI":"10.1016/j.carres.2011.10.034","ISSN":"1873-426X","journalAbbreviation":"Carbohydr Res","language":"eng","page":"42-46","PMID":"22196928","source":"PubMed","title":"Hepatoprotective glycosides from Leonurus japonicus Houtt","volume":"348","author":[{"family":"Li","given":"Yixiu"},{"family":"Chen","given":"Zhong"},{"family":"Feng","given":"Ziming"},{"family":"Yang","given":"Yanan"},{"family":"Jiang","given":"Jianshuang"},{"family":"Zhang","given":"Peicheng"}],"issued":{"date-parts":[["2012",2,1]]}}}],"schema":"https://github.com/citation-style-language/schema/raw/master/csl-citation.json"} </w:instrText>
            </w:r>
            <w:r w:rsidR="004A1DB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w:t>
            </w:r>
            <w:r w:rsidR="004A1DB5" w:rsidRPr="00082425">
              <w:rPr>
                <w:rFonts w:ascii="Times New Roman" w:eastAsia="宋体" w:hAnsi="Times New Roman" w:cs="Times New Roman"/>
              </w:rPr>
              <w:fldChar w:fldCharType="end"/>
            </w:r>
            <w:r w:rsidRPr="00082425">
              <w:rPr>
                <w:rFonts w:ascii="Times New Roman" w:eastAsia="宋体" w:hAnsi="Times New Roman" w:cs="Times New Roman"/>
              </w:rPr>
              <w:t>，这暗示</w:t>
            </w:r>
            <w:r w:rsidRPr="00082425">
              <w:rPr>
                <w:rFonts w:ascii="Times New Roman" w:eastAsia="宋体" w:hAnsi="Times New Roman" w:cs="Times New Roman"/>
              </w:rPr>
              <w:t xml:space="preserve"> Leonoside A </w:t>
            </w:r>
            <w:r w:rsidRPr="00082425">
              <w:rPr>
                <w:rFonts w:ascii="Times New Roman" w:eastAsia="宋体" w:hAnsi="Times New Roman" w:cs="Times New Roman"/>
              </w:rPr>
              <w:t>可能具有相似的肝脏保护作用。</w:t>
            </w:r>
          </w:p>
        </w:tc>
      </w:tr>
      <w:tr w:rsidR="00E95036" w:rsidRPr="00082425" w14:paraId="2153A249" w14:textId="187AE39E" w:rsidTr="00EF2D00">
        <w:tc>
          <w:tcPr>
            <w:tcW w:w="829" w:type="dxa"/>
          </w:tcPr>
          <w:p w14:paraId="3A1438A1" w14:textId="64F157F7" w:rsidR="00E95036" w:rsidRPr="00082425" w:rsidRDefault="007F7180" w:rsidP="00A872CD">
            <w:pPr>
              <w:spacing w:line="360" w:lineRule="auto"/>
              <w:rPr>
                <w:rFonts w:ascii="Times New Roman" w:eastAsia="宋体" w:hAnsi="Times New Roman" w:cs="Times New Roman"/>
              </w:rPr>
            </w:pPr>
            <w:r w:rsidRPr="00082425">
              <w:rPr>
                <w:rFonts w:ascii="Times New Roman" w:eastAsia="宋体" w:hAnsi="Times New Roman" w:cs="Times New Roman"/>
              </w:rPr>
              <w:t>2</w:t>
            </w:r>
          </w:p>
        </w:tc>
        <w:tc>
          <w:tcPr>
            <w:tcW w:w="3355" w:type="dxa"/>
          </w:tcPr>
          <w:p w14:paraId="34CD3B66" w14:textId="56A4AEC9"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Isoflavone base + 2</w:t>
            </w:r>
            <w:r w:rsidRPr="00082425">
              <w:rPr>
                <w:rFonts w:ascii="Times New Roman" w:eastAsia="宋体" w:hAnsi="Times New Roman" w:cs="Times New Roman"/>
                <w:i/>
                <w:iCs/>
                <w:lang w:val="pt-BR"/>
              </w:rPr>
              <w:t>O</w:t>
            </w:r>
            <w:r w:rsidRPr="00082425">
              <w:rPr>
                <w:rFonts w:ascii="Times New Roman" w:eastAsia="宋体" w:hAnsi="Times New Roman" w:cs="Times New Roman"/>
                <w:lang w:val="pt-BR"/>
              </w:rPr>
              <w:t xml:space="preserve">, </w:t>
            </w:r>
            <w:r w:rsidRPr="00082425">
              <w:rPr>
                <w:rFonts w:ascii="Times New Roman" w:eastAsia="宋体" w:hAnsi="Times New Roman" w:cs="Times New Roman"/>
                <w:i/>
                <w:iCs/>
                <w:lang w:val="pt-BR"/>
              </w:rPr>
              <w:t>O</w:t>
            </w:r>
            <w:r w:rsidRPr="00082425">
              <w:rPr>
                <w:rFonts w:ascii="Times New Roman" w:eastAsia="宋体" w:hAnsi="Times New Roman" w:cs="Times New Roman"/>
                <w:lang w:val="pt-BR"/>
              </w:rPr>
              <w:t>-Hex</w:t>
            </w:r>
          </w:p>
        </w:tc>
        <w:tc>
          <w:tcPr>
            <w:tcW w:w="10133" w:type="dxa"/>
          </w:tcPr>
          <w:p w14:paraId="2F173C22" w14:textId="77777777" w:rsidR="00D5505F" w:rsidRPr="00082425" w:rsidRDefault="00D5298A" w:rsidP="00A872CD">
            <w:pPr>
              <w:spacing w:line="360" w:lineRule="auto"/>
              <w:rPr>
                <w:rFonts w:ascii="Times New Roman" w:eastAsia="宋体" w:hAnsi="Times New Roman" w:cs="Times New Roman"/>
              </w:rPr>
            </w:pPr>
            <w:r w:rsidRPr="00082425">
              <w:rPr>
                <w:rFonts w:ascii="Times New Roman" w:eastAsia="宋体" w:hAnsi="Times New Roman" w:cs="Times New Roman"/>
                <w:lang w:val="pt-BR"/>
              </w:rPr>
              <w:t>其生物活性未见报道，但是其为</w:t>
            </w:r>
            <w:r w:rsidRPr="00082425">
              <w:rPr>
                <w:rFonts w:ascii="Times New Roman" w:eastAsia="宋体" w:hAnsi="Times New Roman" w:cs="Times New Roman"/>
              </w:rPr>
              <w:t>异黄酮</w:t>
            </w:r>
            <w:r w:rsidRPr="00082425">
              <w:rPr>
                <w:rFonts w:ascii="Times New Roman" w:eastAsia="宋体" w:hAnsi="Times New Roman" w:cs="Times New Roman"/>
                <w:color w:val="000000"/>
                <w:szCs w:val="22"/>
              </w:rPr>
              <w:t>氧糖苷</w:t>
            </w:r>
            <w:r w:rsidRPr="00082425">
              <w:rPr>
                <w:rFonts w:ascii="Times New Roman" w:eastAsia="宋体" w:hAnsi="Times New Roman" w:cs="Times New Roman"/>
              </w:rPr>
              <w:t>类化合物，在抗炎、抗肿瘤、抗衰老和抗糖尿病等方面的应用具有潜在的作用。</w:t>
            </w:r>
          </w:p>
          <w:p w14:paraId="406C99C3" w14:textId="28B60507" w:rsidR="002B6218" w:rsidRPr="00082425" w:rsidRDefault="002B6218" w:rsidP="00A872CD">
            <w:pPr>
              <w:spacing w:line="360" w:lineRule="auto"/>
              <w:rPr>
                <w:rFonts w:ascii="Times New Roman" w:eastAsia="宋体" w:hAnsi="Times New Roman" w:cs="Times New Roman"/>
                <w:lang w:val="pt-BR"/>
              </w:rPr>
            </w:pPr>
          </w:p>
        </w:tc>
      </w:tr>
      <w:tr w:rsidR="00E95036" w:rsidRPr="00082425" w14:paraId="7C824747" w14:textId="1A641449" w:rsidTr="00EF2D00">
        <w:tc>
          <w:tcPr>
            <w:tcW w:w="829" w:type="dxa"/>
          </w:tcPr>
          <w:p w14:paraId="707327D3" w14:textId="6BF328FA" w:rsidR="00E95036" w:rsidRPr="00082425" w:rsidRDefault="007F7180"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3</w:t>
            </w:r>
          </w:p>
        </w:tc>
        <w:tc>
          <w:tcPr>
            <w:tcW w:w="3355" w:type="dxa"/>
          </w:tcPr>
          <w:p w14:paraId="3CBAB21A" w14:textId="77777777" w:rsidR="00E95036" w:rsidRPr="00082425" w:rsidRDefault="00E95036" w:rsidP="00A872CD">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p>
          <w:p w14:paraId="0CCBBD1F" w14:textId="614F617D"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Liquiritin</w:t>
            </w:r>
          </w:p>
        </w:tc>
        <w:tc>
          <w:tcPr>
            <w:tcW w:w="10133" w:type="dxa"/>
          </w:tcPr>
          <w:p w14:paraId="5DDA3269" w14:textId="77777777" w:rsidR="00E95036" w:rsidRPr="00082425" w:rsidRDefault="00E95036" w:rsidP="00A872CD">
            <w:pPr>
              <w:spacing w:line="360" w:lineRule="auto"/>
              <w:rPr>
                <w:rFonts w:ascii="Times New Roman" w:eastAsia="宋体" w:hAnsi="Times New Roman" w:cs="Times New Roman"/>
              </w:rPr>
            </w:pPr>
            <w:r w:rsidRPr="00082425">
              <w:rPr>
                <w:rFonts w:ascii="Times New Roman" w:eastAsia="宋体" w:hAnsi="Times New Roman" w:cs="Times New Roman"/>
              </w:rPr>
              <w:t>其生物活性包括</w:t>
            </w:r>
            <w:r w:rsidR="004A1DB5" w:rsidRPr="00082425">
              <w:rPr>
                <w:rFonts w:ascii="Times New Roman" w:eastAsia="宋体" w:hAnsi="Times New Roman" w:cs="Times New Roman"/>
              </w:rPr>
              <w:t>抗肿瘤、抗炎、抗氧化</w:t>
            </w:r>
            <w:r w:rsidRPr="00082425">
              <w:rPr>
                <w:rFonts w:ascii="Times New Roman" w:eastAsia="宋体" w:hAnsi="Times New Roman" w:cs="Times New Roman"/>
              </w:rPr>
              <w:t>等多种作用</w:t>
            </w:r>
            <w:r w:rsidR="004A1DB5" w:rsidRPr="00082425">
              <w:rPr>
                <w:rFonts w:ascii="Times New Roman" w:eastAsia="宋体" w:hAnsi="Times New Roman" w:cs="Times New Roman"/>
              </w:rPr>
              <w:t>。</w:t>
            </w:r>
          </w:p>
          <w:p w14:paraId="1A3E4F2F" w14:textId="448C0850" w:rsidR="004A1DB5" w:rsidRPr="00082425" w:rsidRDefault="004A1DB5" w:rsidP="004A1DB5">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lang w:val="pt-BR"/>
              </w:rPr>
              <w:t>首先，</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在抗肿瘤方面的作用已被多项研究证实。研究发现，</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通过抑制表皮生长因子受体（</w:t>
            </w:r>
            <w:r w:rsidRPr="00082425">
              <w:rPr>
                <w:rFonts w:ascii="Times New Roman" w:eastAsia="宋体" w:hAnsi="Times New Roman" w:cs="Times New Roman"/>
                <w:lang w:val="pt-BR"/>
              </w:rPr>
              <w:t>EGFR</w:t>
            </w:r>
            <w:r w:rsidRPr="00082425">
              <w:rPr>
                <w:rFonts w:ascii="Times New Roman" w:eastAsia="宋体" w:hAnsi="Times New Roman" w:cs="Times New Roman"/>
                <w:lang w:val="pt-BR"/>
              </w:rPr>
              <w:t>）和丝裂原活化蛋白激酶</w:t>
            </w:r>
            <w:r w:rsidRPr="00082425">
              <w:rPr>
                <w:rFonts w:ascii="Times New Roman" w:eastAsia="宋体" w:hAnsi="Times New Roman" w:cs="Times New Roman"/>
                <w:lang w:val="pt-BR"/>
              </w:rPr>
              <w:t>8</w:t>
            </w:r>
            <w:r w:rsidRPr="00082425">
              <w:rPr>
                <w:rFonts w:ascii="Times New Roman" w:eastAsia="宋体" w:hAnsi="Times New Roman" w:cs="Times New Roman"/>
                <w:lang w:val="pt-BR"/>
              </w:rPr>
              <w:t>（</w:t>
            </w:r>
            <w:r w:rsidRPr="00082425">
              <w:rPr>
                <w:rFonts w:ascii="Times New Roman" w:eastAsia="宋体" w:hAnsi="Times New Roman" w:cs="Times New Roman"/>
                <w:lang w:val="pt-BR"/>
              </w:rPr>
              <w:t>MAPK8</w:t>
            </w:r>
            <w:r w:rsidRPr="00082425">
              <w:rPr>
                <w:rFonts w:ascii="Times New Roman" w:eastAsia="宋体" w:hAnsi="Times New Roman" w:cs="Times New Roman"/>
                <w:lang w:val="pt-BR"/>
              </w:rPr>
              <w:t>）信号通路，能够有效抑制乳腺癌细胞的增殖和诱导细胞凋亡</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{"citationID":"W1ayiZ5b","properties":{"formattedCitation":"\\super [3]\\nosupersub{}","plainCitation":"[3]","noteIndex":0},"citationItems":[{"id":6004,"uris":["http://zotero.org/users/8103267/items/A6QXIBNP"],"itemData":{"id":6004,"type":"article-journal","abstract":"Liquiritin, a key component extracted from Glycyrrhiza radix, exhibits a variety of physiological effects. This study investigates the role of liquiritin in the progression of breast cancer. This investigation conducted experiments using two breast cancer cell lines treated with varying concentrations of liquiritin, further validating our findings in vivo. Bioinformatics analysis was used to identify the pathways potentially regulated by liquiritin in breast cancer. The results indicated that the epidermal growth factor receptor (EGFR) and mitogen-activated protein kinase 8 (MAPK8) are potential downstream factors regulated by liquiritin in breast cancer. Our findings demonstrated that liquiritin significantly suppressed cell proliferation and induced cell cycle arrest in a dose-dependent manner. In addition, liquiritin triggered apoptosis by inhibiting the phosphatidylinositol-4,5-bisphosphate 3-kinase/protein kinase B signaling pathway. Liquiritin also reduced mitochondrial membrane potential, leading to mitochondrial dysfunction and promoting excessive reactive oxygen species (ROS) production by suppressing the EGFR/MAPK8 signaling pathway. Furthermore, liquiritin treatment resulted in a notable decrease in tumor size in breast cancer models through inhibiting cell proliferation and promoting apoptosis. In conclusion, liquiritin serves as an effective tumor suppressor, suppressing the proliferation and cell cycle progression of breast cancer cells, while inducing apoptosis by regulating mitochondrial function and ROS generation via the EGFR/MAPK8 signaling pathway.","container-title":"DNA and cell biology","DOI":"10.1089/dna.2024.0249","ISSN":"1557-7430","issue":"4","journalAbbreviation":"DNA Cell Biol","language":"eng","page":"197-208","PMID":"40014434","source":"PubMed","title":"Liquiritin as a Tumor Suppressor Prevents the Development of Breast Cancer via the Epidermal Growth Factor Receptor/Mitogen-Activated Protein Kinase 8 Signaling Pathway","volume":"44","author":[{"family":"Li","given":"Ping"},{"family":"Yuan","given":"Lili"},{"family":"Jiang","given":"Ying"},{"family":"Chen","given":"Yue"},{"family":"Zhang","given":"Manyu"},{"family":"Jiang","given":"Ling"},{"family":"Ge","given":"Pengling"}],"issued":{"date-parts":[["2025",4]]}}}],"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[3]</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。此外，</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还通过抑制肿瘤相关巨噬细胞（</w:t>
            </w:r>
            <w:r w:rsidRPr="00082425">
              <w:rPr>
                <w:rFonts w:ascii="Times New Roman" w:eastAsia="宋体" w:hAnsi="Times New Roman" w:cs="Times New Roman"/>
                <w:lang w:val="pt-BR"/>
              </w:rPr>
              <w:t>TAMs</w:t>
            </w:r>
            <w:r w:rsidRPr="00082425">
              <w:rPr>
                <w:rFonts w:ascii="Times New Roman" w:eastAsia="宋体" w:hAnsi="Times New Roman" w:cs="Times New Roman"/>
                <w:lang w:val="pt-BR"/>
              </w:rPr>
              <w:t>）中</w:t>
            </w:r>
            <w:r w:rsidRPr="00082425">
              <w:rPr>
                <w:rFonts w:ascii="Times New Roman" w:eastAsia="宋体" w:hAnsi="Times New Roman" w:cs="Times New Roman"/>
                <w:lang w:val="pt-BR"/>
              </w:rPr>
              <w:t>CXCL1</w:t>
            </w:r>
            <w:r w:rsidRPr="00082425">
              <w:rPr>
                <w:rFonts w:ascii="Times New Roman" w:eastAsia="宋体" w:hAnsi="Times New Roman" w:cs="Times New Roman"/>
                <w:lang w:val="pt-BR"/>
              </w:rPr>
              <w:t>的溶酶体降解，抑制乳腺癌的新生血管生成</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{"citationID":"DbtoR8xk","properties":{"formattedCitation":"\\super [4]\\nosupersub{}","plainCitation":"[4]","noteIndex":0},"citationItems":[{"id":6006,"uris":["http://zotero.org/users/8103267/items/H8TWAQGS"],"itemData":{"id":6006,"type":"article-journal","abstract":"BACKGROUND: Tumor-associated macrophages (TAMs) play a pivotal role in promoting neoangiogenesis and have emerged as a promising therapeutic target in cancer treatment. Aiduqing formula (ADQ) is a traditional Chinese medicine (TCM) formula that has demonstrated reliable clinical efficacy in breast cancer treatment.\nPURPOSE: This study aimed to explore the potential properties, underlying mechanisms, and bioactive constituents of ADQ in modulating breast cancer neoangiogenesis.\nMETHODS: A membrane-capture strategy utilizing TAM membrane-coated magnetic nanoparticles, combined with LC-MS profiling, was employed to selectively screen TAM-binding constituents from ADQ. TAMs were co-cultured with endothelial cells in vitro, and co-implanted orthotopically with breast cancer cells in vivo to simulate their coexistence. Multiple molecular biology techniques, zebrafish xenotransplantation and murine xenograft models of breast cancer were utilized to assess neoangiogenesis.\nRESULTS: ADQ administration dose-dependently reduced both microvessel density and TAM infiltration in mammary tumors. Furthermore, TAM-membrane-capture/LC-MS screening and TAM/CXCL1 ELISA assays identified liquiritin as the principal bioactive constituent of ADQ responsible for suppressing TAM/CXCL1. Moreover, liquiritin at non-toxic concentrations exerted no discernible cytotoxic effects on endothelial cell viability or function. However, it significantly and dose-dependently inhibited TAM/CXCL1-induced endothelial cell proliferation, migration, invasion, and tube formation in vitro, whereas CXCL1 overexpression in TAMs partially abrogated this effect. Mechanistically, liquiritin accumulated preferentially within TAM lysosomes, enhanced CXCL1 and lysosome co-localization, and ultimately accelerated lysosomal degradation of CXCL1 by upregulating cathepsin-K (CTSK) expression. More importantly, liquiritin significantly suppressed TAM/CXCL1-driven neoangiogenesis in the zebrafish xenotransplantation model with high-safety. Additionally, liquiritin effectively inhibited TAM/CXCL1-induced neoangiogenesis and growth of mouse breast cancer xenografts in vivo.\nCONCLUSION: This pioneering study not only sheds light on TAM/CXCL1 as a novel therapeutic target for suppressing breast cancer neoangiogenesis, but also identifies liquiritin as a potent and low-toxicity anti-angiogenic phytochemical for breast cancer treatment functioning by enhancing CTSK-mediated lysosomal degradation of CXCL1 in TAMs.","container-title":"Phytomedicine: International Journal of Phytotherapy and Phytopharmacology","DOI":"10.1016/j.phymed.2025.157358","ISSN":"1618-095X","journalAbbreviation":"Phytomedicine","language":"eng","page":"157358","PMID":"41072283","source":"PubMed","title":"Liquiritin in Aiduqing formula inhibits breast cancer neoangiogenesis by suppressing CTSK-mediated lysosomal degradation of CXCL1 in tumor-associated macrophages","volume":"148","author":[{"family":"Yang","given":"Bowen"},{"family":"Luo","given":"Jian"},{"family":"Wang","given":"Jinyu"},{"family":"Zhang","given":"Juping"},{"family":"Zheng","given":"Yifeng"},{"family":"Wang","given":"Shengqi"},{"family":"Wang","given":"Neng"},{"family":"Wang","given":"Zhiyu"}],"issued":{"date-parts":[["2025",11,25]]}}}],"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[4]</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6F41D78B" w14:textId="268F8848" w:rsidR="004A1DB5" w:rsidRPr="00082425" w:rsidRDefault="004A1DB5" w:rsidP="004A1DB5">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在抗炎方面，</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通过调节多种信号通路发挥作用。研究表明，</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能够通过抑制</w:t>
            </w:r>
            <w:r w:rsidRPr="00082425">
              <w:rPr>
                <w:rFonts w:ascii="Times New Roman" w:eastAsia="宋体" w:hAnsi="Times New Roman" w:cs="Times New Roman"/>
                <w:lang w:val="pt-BR"/>
              </w:rPr>
              <w:t>NF-κB</w:t>
            </w:r>
            <w:r w:rsidRPr="00082425">
              <w:rPr>
                <w:rFonts w:ascii="Times New Roman" w:eastAsia="宋体" w:hAnsi="Times New Roman" w:cs="Times New Roman"/>
                <w:lang w:val="pt-BR"/>
              </w:rPr>
              <w:t>和</w:t>
            </w:r>
            <w:r w:rsidRPr="00082425">
              <w:rPr>
                <w:rFonts w:ascii="Times New Roman" w:eastAsia="宋体" w:hAnsi="Times New Roman" w:cs="Times New Roman"/>
                <w:lang w:val="pt-BR"/>
              </w:rPr>
              <w:t>JNK</w:t>
            </w:r>
            <w:r w:rsidRPr="00082425">
              <w:rPr>
                <w:rFonts w:ascii="Times New Roman" w:eastAsia="宋体" w:hAnsi="Times New Roman" w:cs="Times New Roman"/>
                <w:lang w:val="pt-BR"/>
              </w:rPr>
              <w:t>信号通路，减轻由脂多糖（</w:t>
            </w:r>
            <w:r w:rsidRPr="00082425">
              <w:rPr>
                <w:rFonts w:ascii="Times New Roman" w:eastAsia="宋体" w:hAnsi="Times New Roman" w:cs="Times New Roman"/>
                <w:lang w:val="pt-BR"/>
              </w:rPr>
              <w:t>LPS</w:t>
            </w:r>
            <w:r w:rsidRPr="00082425">
              <w:rPr>
                <w:rFonts w:ascii="Times New Roman" w:eastAsia="宋体" w:hAnsi="Times New Roman" w:cs="Times New Roman"/>
                <w:lang w:val="pt-BR"/>
              </w:rPr>
              <w:t>）引起的人角质形成细胞（</w:t>
            </w:r>
            <w:r w:rsidRPr="00082425">
              <w:rPr>
                <w:rFonts w:ascii="Times New Roman" w:eastAsia="宋体" w:hAnsi="Times New Roman" w:cs="Times New Roman"/>
                <w:lang w:val="pt-BR"/>
              </w:rPr>
              <w:t>HaCaT</w:t>
            </w:r>
            <w:r w:rsidRPr="00082425">
              <w:rPr>
                <w:rFonts w:ascii="Times New Roman" w:eastAsia="宋体" w:hAnsi="Times New Roman" w:cs="Times New Roman"/>
                <w:lang w:val="pt-BR"/>
              </w:rPr>
              <w:t>细胞）的炎症损伤</w:t>
            </w:r>
            <w:r w:rsidR="003859A5"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{"citationID":"v5uPcy24","properties":{"formattedCitation":"\\super [5]\\nosupersub{}","plainCitation":"[5]","noteIndex":0},"citationItems":[{"id":6008,"uris":["http://zotero.org/users/8103267/items/YNMS7R6E"],"itemData":{"id":6008,"type":"article-journal","abstract":"BACKGROUND: Pressure ulcers are a common issue for people who have limited mobility. This study tested the impact of liquiritin on human keratinocyte HaCaT cell inflammatory damage aroused by lipopolysaccharide (LPS).\nMETHODS: HaCaT cells were underwent LPS and/or liquiritin incubation. Cell viability, apoptosis and inflammatory molecules interleukin 6 (IL-6), tumor necrosis factor α (TNF-α) and cyclooxygenase-2 (Cox-2) expressions, along with nuclear factor kappa B (NF-κB) and c-Jun N-terminal kinase (JNK) pathways activities were tested by MTT assay, Guava Nexin assay, ELISA and western blotting, respectively. qRT-PCR was done for measuring microRNA-31 (miR-31) expression. miR-31 inhibitor was transfected to silence miR-31. Animal pressure ulcers was established on the dorsal skin of adult rats. The effects of liquiritin on wound healing were analyzed by measuring wound closure rates.\nRESULTS: LPS aroused HaCaT cell inflammatory damage, as evidenced by the decrease of cell viability, increase of cell apoptosis and enhanced expressions of IL-6, TNF-α and Cox-2. Liquiritin protected HaCaT cells against LPS-aroused inflammatory damage through increasing cell viability, decreasing cell apoptosis, and reducing IL-6, TNF-α and Cox-2 expressions. Liquiritin attenuated the LPS-aroused NF-κB and JNK pathways activation in HaCaT cells. Rat pressure ulcers model also confirmed that liquiritin promoted wound healing. In mechanism, miR-31 expression was boosted by liquiritin in HaCaT cells. Silencing miR-31 weakened the impacts of liquiritin on LPS-irritated HaCaT cells. Myeloid differentiation factor 88 (MyD88) was a target of miR-31 in HaCaT cells.\nCONCLUSION: This research affirmed the beneficial impact of liquiritin on pressure ulcers. Liquiritin reduced LPS-aroused HaCaT cell inflammatory damage might be implemented via raising miR-31 expression, lowering MyD88 expression, and repressing NF-κB and JNK pathways.","container-title":"International Immunopharmacology","DOI":"10.1016/j.intimp.2021.108283","ISSN":"1878-1705","issue":"Pt B","journalAbbreviation":"Int Immunopharmacol","language":"eng","page":"108283","PMID":"34731782","source":"PubMed","title":"Liquiritin reduces lipopolysaccharide-aroused HaCaT cell inflammation damage via regulation of microRNA-31/MyD88","volume":"101","author":[{"family":"Yang","given":"Xuehui"},{"family":"Dang","given":"Xiuwei"},{"family":"Zhang","given":"Xue"},{"family":"Zhao","given":"Siren"}],"issued":{"date-parts":[["2021",12]]}}}],"schema":"https://github.com/citation-style-language/schema/raw/master/csl-citation.json"} </w:instrText>
            </w:r>
            <w:r w:rsidR="003859A5"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w:t>
            </w:r>
            <w:r w:rsidR="003859A5"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。此外，甘草素还能够通过调节</w:t>
            </w:r>
            <w:r w:rsidRPr="00082425">
              <w:rPr>
                <w:rFonts w:ascii="Times New Roman" w:eastAsia="宋体" w:hAnsi="Times New Roman" w:cs="Times New Roman"/>
                <w:lang w:val="pt-BR"/>
              </w:rPr>
              <w:t>P53/PUMA</w:t>
            </w:r>
            <w:r w:rsidRPr="00082425">
              <w:rPr>
                <w:rFonts w:ascii="Times New Roman" w:eastAsia="宋体" w:hAnsi="Times New Roman" w:cs="Times New Roman"/>
                <w:lang w:val="pt-BR"/>
              </w:rPr>
              <w:t>信号通路，减少软骨细胞凋亡，从而缓解骨关节炎的进程</w:t>
            </w:r>
            <w:r w:rsidR="003859A5"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{"citationID":"DT6ECL9R","properties":{"formattedCitation":"\\super [6]\\nosupersub{}","plainCitation":"[6]","noteIndex":0},"citationItems":[{"id":6010,"uris":["http://zotero.org/users/8103267/items/4G4XWASL"],"itemData":{"id":6010,"type":"article-journal","abstract":"AIMS: The main pathological features of osteoarthritis (OA) include the degeneration of articular cartilage and a decrease in matrix synthesis. Chondrocytes, which contribute to matrix synthesis, play a crucial role in the development of OA. Liquiritin, an effective ingredient extracted from Glycyrrhiza uralensis Fisch., has been used for over 1000 years to treat OA. This study aims to investigate the impact of liquiritin on OA and its underlying mechanism.\nMATERIALS AND METHODS: Gait and hot plate tests assessed mouse behavior, while Micro-CT and ABH/OG staining observed joint morphological changes. The TUNEL kit detected chondrocyte apoptosis. Western blot and immunofluorescence techniques determined the expression levels of cartilage metabolism markers COL2 and MMP13, as well as apoptosis markers caspase3, bcl2, P53, and PUMA. KEGG analysis and molecular docking technology were used to verify the relationship between liquiritin and P53.\nKEY FINDINGS: Liquiritin alleviated pain sensitivity and improved gait impairment in OA mice. Additionally, we found that liquiritin could increase COL2 levels and decrease MMP13 levels both in vivo and in vitro. Importantly, liquiritin reduced chondrocyte apoptosis induced by OA, through decreased expression of caspase3 expression and increased expression of bcl2 expression. Molecular docking revealed a strong binding affinity between liquiritin and P53. Both in vivo and in vitro studies demonstrated that liquiritin suppressed the expression of P53 and PUMA in cartilage.\nSIGNIFICANCE: This indicated that liquiritin may alleviate OA progression by inhibiting the P53/PUMA signaling pathway, suggesting that liquiritin is a potential strategy for the treatment of OA.","container-title":"Life Sciences","DOI":"10.1016/j.lfs.2024.122536","ISSN":"1879-0631","journalAbbreviation":"Life Sci","language":"eng","page":"122536","PMID":"38423170","source":"PubMed","title":"Liquiritin reduces chondrocyte apoptosis through P53/PUMA signaling pathway to alleviate osteoarthritis","volume":"343","author":[{"family":"Qiu","given":"Min"},{"family":"Cheng","given":"Liangyan"},{"family":"Xu","given":"Jianbo"},{"family":"Jin","given":"Minwei"},{"family":"Yuan","given":"Wenhua"},{"family":"Ge","given":"Qinwen"},{"family":"Zou","given":"Kaiao"},{"family":"Chen","given":"Jiali"},{"family":"Huang","given":"Yuliang"},{"family":"Li","given":"Ju"},{"family":"Zhu","given":"Liming"},{"family":"Xu","given":"Bing"},{"family":"Zhang","given":"Chunchun"},{"family":"Jin","given":"Hongting"},{"family":"Wang","given":"Pinger"}],"issued":{"date-parts":[["2024",4,15]]}}}],"schema":"https://github.com/citation-style-language/schema/raw/master/csl-citation.json"} </w:instrText>
            </w:r>
            <w:r w:rsidR="003859A5"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[6]</w:t>
            </w:r>
            <w:r w:rsidR="003859A5"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584E5AB1" w14:textId="6D84420C" w:rsidR="004A1DB5" w:rsidRPr="00082425" w:rsidRDefault="004A1DB5" w:rsidP="004A1DB5">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在抗氧化方面，</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通过多种机制发挥其保护作用。研究发现，</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能够通过增加葡萄糖</w:t>
            </w:r>
            <w:r w:rsidRPr="00082425">
              <w:rPr>
                <w:rFonts w:ascii="Times New Roman" w:eastAsia="宋体" w:hAnsi="Times New Roman" w:cs="Times New Roman"/>
                <w:lang w:val="pt-BR"/>
              </w:rPr>
              <w:t>-6-</w:t>
            </w:r>
            <w:r w:rsidRPr="00082425">
              <w:rPr>
                <w:rFonts w:ascii="Times New Roman" w:eastAsia="宋体" w:hAnsi="Times New Roman" w:cs="Times New Roman"/>
                <w:lang w:val="pt-BR"/>
              </w:rPr>
              <w:t>磷酸脱氢酶的表达，增强神经母细胞瘤细胞的存活能力</w:t>
            </w:r>
            <w:r w:rsidR="003859A5"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{"citationID":"qdQ28qp4","properties":{"formattedCitation":"\\super [7]\\nosupersub{}","plainCitation":"[7]","noteIndex":0},"citationItems":[{"id":6012,"uris":["http://zotero.org/users/8103267/items/J8CMFZ2X"],"itemData":{"id":6012,"type":"article-journal","abstract":"Glycyrrhiza (the roots and rhizomes of licorice) has been used worldwide as both an herbal nutraceutical and herbal medicine. In addition, it is well known that Glycyrrhiza contains various compounds with biological effects, such as anti-viral, anti-inflammatory, immunoregulatory, anti-tumor and neuroprotective effects. Among the various compounds in Glycyrrhiza, the active compounds that show biological activity are thought to include glycyrrhizin, glycyrrhetinic acid, glabridin, licochalcones and liquiritin. In the present study, we investigated the biological effects of three of these compounds (glycyrrhizin, liquiritin and isoliquiritin) on B65 neuroblastoma cells derived from serotonergic neurons. Among these three compounds, only liquiritin enhanced the proliferation of B65 neuroblastoma cells. In contrast, both glycyrrhizin and isoliquiritin, particularly at high concentrations had cytotoxic effects. Cells were treated with various cytotoxic agents and liquiritin could ameliorate the cytotoxicity induced by menadione sodium bisulfate in a dose-dependent manner. We also examined the effect of liquiritin on cell survival by evaluating the expression levels of phospho-p44/42 mitogen-activated protein kinase, cyclin-related proteins and glucose-6-phosphate dehydrogenase, which produces nicotinamide adenine dinucleotide phosphate. Under treatment with liquiritin, the protein expression level of glucose-6-phosphate dehydrogenase increased in a dose-dependent manner. In contrast, the protein expression level of cyclin-related proteins did not change at all under treatment with liquiritin. These results suggest that liquiritin, which is contained in Glycyrrhiza, may enhance cell survival by increasing the protein expression level of glucose-6 phosphate dehydrogenase.","container-title":"European Journal of Pharmacology","DOI":"10.1016/j.ejphar.2017.09.040","ISSN":"1879-0712","journalAbbreviation":"Eur J Pharmacol","language":"eng","page":"381-390","PMID":"28970010","source":"PubMed","title":"Neuroprotective effect of liquiritin as an antioxidant via an increase in glucose-6-phosphate dehydrogenase expression on B65 neuroblastoma cells","volume":"815","author":[{"family":"Nakatani","given":"Yoshihiko"},{"family":"Kobe","given":"Aya"},{"family":"Kuriya","given":"Megumi"},{"family":"Hiroki","given":"Yoko"},{"family":"Yahagi","given":"Tadahiro"},{"family":"Sakakibara","given":"Iwao"},{"family":"Matsuzaki","given":"Keiichi"},{"family":"Amano","given":"Taku"}],"issued":{"date-parts":[["2017",11,15]]}}}],"schema":"https://github.com/citation-style-language/schema/raw/master/csl-citation.json"} </w:instrText>
            </w:r>
            <w:r w:rsidR="003859A5"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[7]</w:t>
            </w:r>
            <w:r w:rsidR="003859A5"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。此外，</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还能够通过调节氧化应激和线粒体</w:t>
            </w:r>
            <w:r w:rsidRPr="00082425">
              <w:rPr>
                <w:rFonts w:ascii="Times New Roman" w:eastAsia="宋体" w:hAnsi="Times New Roman" w:cs="Times New Roman"/>
                <w:lang w:val="pt-BR"/>
              </w:rPr>
              <w:lastRenderedPageBreak/>
              <w:t>功能障碍，保护成骨细胞免受氧化应激引起的细胞毒性损伤</w:t>
            </w:r>
            <w:r w:rsidR="003859A5"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{"citationID":"EvFob1lM","properties":{"formattedCitation":"\\super [8]\\nosupersub{}","plainCitation":"[8]","noteIndex":0},"citationItems":[{"id":6014,"uris":["http://zotero.org/users/8103267/items/CXZ7P9DJ"],"itemData":{"id":6014,"type":"article-journal","abstract":"We investigated the protective effect of liquiritigenin, one of the flavonoids present in Glycyrrhizae radix, against antimycin A-induced mitochondrial dysfunction in MC3T3-E1 osteoblast cells. Osteoblastic MC3T3-E1 cells were pre-incubated with liquiritigenin before treatment with antimycin A, and markers of mitochondrial function and oxidative damage were examined. In addition, the effects of liquiritigenin on the activation of phosphoinositide 3-kinase (PI3K) were examined in MC3T3-E1 cells. Liquiritigenin protected MC3T3-E1 cells from antimycin A-induced cell death. However, the PI3K inhibitor, LY294002, significantly attenuated liquiritigenin-mediated cell survival, indicating the involvement of PI3K in the cytoprotective effect of liquiritigenin. Pretreatment with liquiritigenin prior to antimycin A exposure significantly reduced antimycin A-induced PI3K inactivation, mitochondrial membrane potential dissipation, complex IV inactivation, and ATP loss. Liquiritigenin also reduced mitochondrial superoxide generation, nitrotyrosine production, and cardiolipin peroxidation during mitochondrial complex inhibition with antimycin A. Taken together, the results of this study show that modulation of PI3K, antioxidant effects, and the attenuation of mitochondrial dysfunction by liquiritigenin represent an important mechanism for its protection of osteoblasts against cytotoxicity resulting from mitochondrial oxidative stress.","container-title":"Phytotherapy research: PTR","DOI":"10.1002/ptr.5071","ISSN":"1099-1573","issue":"6","journalAbbreviation":"Phytother Res","language":"eng","page":"880-886","PMID":"24123597","source":"PubMed","title":"Liquiritigenin restores osteoblast damage through regulating oxidative stress and mitochondrial dysfunction","volume":"28","author":[{"family":"Choi","given":"Eun Mi"},{"family":"Suh","given":"Kwang Sik"},{"family":"Lee","given":"Young Soon"}],"issued":{"date-parts":[["2014",6]]}}}],"schema":"https://github.com/citation-style-language/schema/raw/master/csl-citation.json"} </w:instrText>
            </w:r>
            <w:r w:rsidR="003859A5"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[8]</w:t>
            </w:r>
            <w:r w:rsidR="003859A5"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70517251" w14:textId="77777777" w:rsidR="004A1DB5" w:rsidRPr="00082425" w:rsidRDefault="004A1DB5" w:rsidP="004A1DB5">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综上所述，</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作为一种具有多种生物活性的天然化合物，在抗肿瘤、抗炎和抗氧化等方面展现出广阔的应用前景。未来的研究可以进一步探索</w:t>
            </w:r>
            <w:r w:rsidRPr="00082425">
              <w:rPr>
                <w:rFonts w:ascii="Times New Roman" w:eastAsia="宋体" w:hAnsi="Times New Roman" w:cs="Times New Roman"/>
                <w:color w:val="000000"/>
                <w:szCs w:val="22"/>
              </w:rPr>
              <w:t>甘草</w:t>
            </w:r>
            <w:proofErr w:type="gramStart"/>
            <w:r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lang w:val="pt-BR"/>
              </w:rPr>
              <w:t>在其他疾病中的潜在治疗作用，并开发其在临床中的应用。</w:t>
            </w:r>
          </w:p>
          <w:p w14:paraId="7F22FE4A" w14:textId="5BA19223" w:rsidR="002D494C" w:rsidRPr="00082425" w:rsidRDefault="002D494C" w:rsidP="004A1DB5">
            <w:pPr>
              <w:spacing w:line="360" w:lineRule="auto"/>
              <w:rPr>
                <w:rFonts w:ascii="Times New Roman" w:eastAsia="宋体" w:hAnsi="Times New Roman" w:cs="Times New Roman"/>
                <w:lang w:val="pt-BR"/>
              </w:rPr>
            </w:pPr>
          </w:p>
        </w:tc>
      </w:tr>
      <w:tr w:rsidR="00E95036" w:rsidRPr="00082425" w14:paraId="757C0374" w14:textId="010FFCBD" w:rsidTr="00EF2D00">
        <w:tc>
          <w:tcPr>
            <w:tcW w:w="829" w:type="dxa"/>
          </w:tcPr>
          <w:p w14:paraId="353ED6DC" w14:textId="144F2B3E" w:rsidR="00E95036" w:rsidRPr="00082425" w:rsidRDefault="007F7180"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4</w:t>
            </w:r>
          </w:p>
        </w:tc>
        <w:tc>
          <w:tcPr>
            <w:tcW w:w="3355" w:type="dxa"/>
          </w:tcPr>
          <w:p w14:paraId="46C57E4D" w14:textId="3D5BF4A4"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Isoflavone base + 2</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 xml:space="preserve">, </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-MalonylHex</w:t>
            </w:r>
          </w:p>
        </w:tc>
        <w:tc>
          <w:tcPr>
            <w:tcW w:w="10133" w:type="dxa"/>
          </w:tcPr>
          <w:p w14:paraId="1AABB05B" w14:textId="77777777" w:rsidR="00E95036" w:rsidRPr="00082425" w:rsidRDefault="003859A5" w:rsidP="00A872CD">
            <w:pPr>
              <w:spacing w:line="360" w:lineRule="auto"/>
              <w:rPr>
                <w:rFonts w:ascii="Times New Roman" w:eastAsia="宋体" w:hAnsi="Times New Roman" w:cs="Times New Roman"/>
              </w:rPr>
            </w:pPr>
            <w:r w:rsidRPr="00082425">
              <w:rPr>
                <w:rFonts w:ascii="Times New Roman" w:eastAsia="宋体" w:hAnsi="Times New Roman" w:cs="Times New Roman"/>
                <w:lang w:val="pt-BR"/>
              </w:rPr>
              <w:t>其生物活性未见报道，但是其为</w:t>
            </w:r>
            <w:r w:rsidRPr="00082425">
              <w:rPr>
                <w:rFonts w:ascii="Times New Roman" w:eastAsia="宋体" w:hAnsi="Times New Roman" w:cs="Times New Roman"/>
              </w:rPr>
              <w:t>异黄酮</w:t>
            </w:r>
            <w:r w:rsidRPr="00082425">
              <w:rPr>
                <w:rFonts w:ascii="Times New Roman" w:eastAsia="宋体" w:hAnsi="Times New Roman" w:cs="Times New Roman"/>
                <w:color w:val="000000"/>
                <w:szCs w:val="22"/>
              </w:rPr>
              <w:t>氧糖苷</w:t>
            </w:r>
            <w:r w:rsidRPr="00082425">
              <w:rPr>
                <w:rFonts w:ascii="Times New Roman" w:eastAsia="宋体" w:hAnsi="Times New Roman" w:cs="Times New Roman"/>
              </w:rPr>
              <w:t>类化合物，在抗炎、抗肿瘤、抗衰老和抗糖尿病等方面的应用具有潜在的作用。</w:t>
            </w:r>
          </w:p>
          <w:p w14:paraId="218B3BA6" w14:textId="0F772C06" w:rsidR="002B6218" w:rsidRPr="00082425" w:rsidRDefault="002B6218" w:rsidP="00A872CD">
            <w:pPr>
              <w:spacing w:line="360" w:lineRule="auto"/>
              <w:rPr>
                <w:rFonts w:ascii="Times New Roman" w:eastAsia="宋体" w:hAnsi="Times New Roman" w:cs="Times New Roman"/>
                <w:lang w:val="pt-BR"/>
              </w:rPr>
            </w:pPr>
          </w:p>
        </w:tc>
      </w:tr>
      <w:tr w:rsidR="00E95036" w:rsidRPr="00082425" w14:paraId="7C31C84C" w14:textId="347C3126" w:rsidTr="00EF2D00">
        <w:tc>
          <w:tcPr>
            <w:tcW w:w="829" w:type="dxa"/>
          </w:tcPr>
          <w:p w14:paraId="1202FEE3" w14:textId="320FDEDE" w:rsidR="00E95036" w:rsidRPr="00082425" w:rsidRDefault="007F7180"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5</w:t>
            </w:r>
          </w:p>
        </w:tc>
        <w:tc>
          <w:tcPr>
            <w:tcW w:w="3355" w:type="dxa"/>
          </w:tcPr>
          <w:p w14:paraId="0BC51791" w14:textId="0BCAEC35" w:rsidR="00E95036" w:rsidRPr="00082425" w:rsidRDefault="00E95036" w:rsidP="00A872CD">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芹菜素</w:t>
            </w:r>
            <w:r w:rsidRPr="00082425">
              <w:rPr>
                <w:rFonts w:ascii="Times New Roman" w:eastAsia="宋体" w:hAnsi="Times New Roman" w:cs="Times New Roman"/>
                <w:color w:val="000000"/>
                <w:szCs w:val="22"/>
                <w:lang w:val="pt-BR"/>
              </w:rPr>
              <w:t>-7-</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w:t>
            </w:r>
            <w:r w:rsidRPr="00082425">
              <w:rPr>
                <w:rFonts w:ascii="Times New Roman" w:eastAsia="宋体" w:hAnsi="Times New Roman" w:cs="Times New Roman"/>
                <w:color w:val="000000"/>
                <w:szCs w:val="22"/>
              </w:rPr>
              <w:t>葡萄糖苷</w:t>
            </w:r>
          </w:p>
          <w:p w14:paraId="17F901EA" w14:textId="02D45904"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Apigenin 7-</w:t>
            </w:r>
            <w:r w:rsidRPr="00082425">
              <w:rPr>
                <w:rFonts w:ascii="Times New Roman" w:eastAsia="宋体" w:hAnsi="Times New Roman" w:cs="Times New Roman"/>
                <w:i/>
                <w:iCs/>
                <w:color w:val="000000"/>
                <w:szCs w:val="22"/>
                <w:lang w:val="pt-BR"/>
              </w:rPr>
              <w:t>O</w:t>
            </w:r>
            <w:r w:rsidRPr="00082425">
              <w:rPr>
                <w:rFonts w:ascii="Times New Roman" w:eastAsia="宋体" w:hAnsi="Times New Roman" w:cs="Times New Roman"/>
                <w:color w:val="000000"/>
                <w:szCs w:val="22"/>
                <w:lang w:val="pt-BR"/>
              </w:rPr>
              <w:t>-glucoside</w:t>
            </w:r>
          </w:p>
        </w:tc>
        <w:tc>
          <w:tcPr>
            <w:tcW w:w="10133" w:type="dxa"/>
          </w:tcPr>
          <w:p w14:paraId="6FEC7715" w14:textId="476BBA05" w:rsidR="00E95036" w:rsidRPr="00082425" w:rsidRDefault="00E95036" w:rsidP="00A872CD">
            <w:pPr>
              <w:spacing w:line="360" w:lineRule="auto"/>
              <w:rPr>
                <w:rFonts w:ascii="Times New Roman" w:eastAsia="宋体" w:hAnsi="Times New Roman" w:cs="Times New Roman"/>
              </w:rPr>
            </w:pPr>
            <w:r w:rsidRPr="00082425">
              <w:rPr>
                <w:rFonts w:ascii="Times New Roman" w:eastAsia="宋体" w:hAnsi="Times New Roman" w:cs="Times New Roman"/>
              </w:rPr>
              <w:t>其生物活性包括</w:t>
            </w:r>
            <w:r w:rsidR="00AB6AC6" w:rsidRPr="00082425">
              <w:rPr>
                <w:rFonts w:ascii="Times New Roman" w:eastAsia="宋体" w:hAnsi="Times New Roman" w:cs="Times New Roman"/>
              </w:rPr>
              <w:t>抗菌、</w:t>
            </w:r>
            <w:r w:rsidR="00FE0C39" w:rsidRPr="00082425">
              <w:rPr>
                <w:rFonts w:ascii="Times New Roman" w:eastAsia="宋体" w:hAnsi="Times New Roman" w:cs="Times New Roman"/>
              </w:rPr>
              <w:t>抗肿瘤</w:t>
            </w:r>
            <w:r w:rsidR="00AB6AC6" w:rsidRPr="00082425">
              <w:rPr>
                <w:rFonts w:ascii="Times New Roman" w:eastAsia="宋体" w:hAnsi="Times New Roman" w:cs="Times New Roman"/>
              </w:rPr>
              <w:t>、抗炎和抗氧化</w:t>
            </w:r>
            <w:r w:rsidRPr="00082425">
              <w:rPr>
                <w:rFonts w:ascii="Times New Roman" w:eastAsia="宋体" w:hAnsi="Times New Roman" w:cs="Times New Roman"/>
              </w:rPr>
              <w:t>等多种作用</w:t>
            </w:r>
          </w:p>
          <w:p w14:paraId="46851755" w14:textId="3002D85D" w:rsidR="00AB6AC6" w:rsidRPr="00082425" w:rsidRDefault="00AB6AC6" w:rsidP="00C02153">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rPr>
              <w:t>首先，</w:t>
            </w:r>
            <w:r w:rsidR="00C02153" w:rsidRPr="00082425">
              <w:rPr>
                <w:rFonts w:ascii="Times New Roman" w:eastAsia="宋体" w:hAnsi="Times New Roman" w:cs="Times New Roman"/>
                <w:color w:val="000000"/>
                <w:szCs w:val="22"/>
              </w:rPr>
              <w:t>芹菜素</w:t>
            </w:r>
            <w:r w:rsidR="00C02153" w:rsidRPr="00082425">
              <w:rPr>
                <w:rFonts w:ascii="Times New Roman" w:eastAsia="宋体" w:hAnsi="Times New Roman" w:cs="Times New Roman"/>
                <w:color w:val="000000"/>
                <w:szCs w:val="22"/>
              </w:rPr>
              <w:t>-7-</w:t>
            </w:r>
            <w:r w:rsidR="00C02153" w:rsidRPr="00082425">
              <w:rPr>
                <w:rFonts w:ascii="Times New Roman" w:eastAsia="宋体" w:hAnsi="Times New Roman" w:cs="Times New Roman"/>
                <w:i/>
                <w:iCs/>
                <w:color w:val="000000"/>
                <w:szCs w:val="22"/>
              </w:rPr>
              <w:t>O</w:t>
            </w:r>
            <w:r w:rsidR="00C02153" w:rsidRPr="00082425">
              <w:rPr>
                <w:rFonts w:ascii="Times New Roman" w:eastAsia="宋体" w:hAnsi="Times New Roman" w:cs="Times New Roman"/>
                <w:color w:val="000000"/>
                <w:szCs w:val="22"/>
              </w:rPr>
              <w:t>-</w:t>
            </w:r>
            <w:r w:rsidR="00C02153" w:rsidRPr="00082425">
              <w:rPr>
                <w:rFonts w:ascii="Times New Roman" w:eastAsia="宋体" w:hAnsi="Times New Roman" w:cs="Times New Roman"/>
                <w:color w:val="000000"/>
                <w:szCs w:val="22"/>
              </w:rPr>
              <w:t>葡萄糖苷（</w:t>
            </w:r>
            <w:r w:rsidRPr="00082425">
              <w:rPr>
                <w:rFonts w:ascii="Times New Roman" w:eastAsia="宋体" w:hAnsi="Times New Roman" w:cs="Times New Roman"/>
              </w:rPr>
              <w:t>A7G</w:t>
            </w:r>
            <w:r w:rsidR="00C02153" w:rsidRPr="00082425">
              <w:rPr>
                <w:rFonts w:ascii="Times New Roman" w:eastAsia="宋体" w:hAnsi="Times New Roman" w:cs="Times New Roman"/>
              </w:rPr>
              <w:t>）</w:t>
            </w:r>
            <w:r w:rsidRPr="00082425">
              <w:rPr>
                <w:rFonts w:ascii="Times New Roman" w:eastAsia="宋体" w:hAnsi="Times New Roman" w:cs="Times New Roman"/>
              </w:rPr>
              <w:t>在抗菌和抗生物膜方面表现出显著的活性。研究发现，</w:t>
            </w:r>
            <w:r w:rsidRPr="00082425">
              <w:rPr>
                <w:rFonts w:ascii="Times New Roman" w:eastAsia="宋体" w:hAnsi="Times New Roman" w:cs="Times New Roman"/>
              </w:rPr>
              <w:t>A7G</w:t>
            </w:r>
            <w:r w:rsidRPr="00082425">
              <w:rPr>
                <w:rFonts w:ascii="Times New Roman" w:eastAsia="宋体" w:hAnsi="Times New Roman" w:cs="Times New Roman"/>
              </w:rPr>
              <w:t>对金黄色葡萄球菌和大肠杆菌的生物膜具有强效的抑制作用，其机制包括抑制胞外多糖（</w:t>
            </w:r>
            <w:r w:rsidRPr="00082425">
              <w:rPr>
                <w:rFonts w:ascii="Times New Roman" w:eastAsia="宋体" w:hAnsi="Times New Roman" w:cs="Times New Roman"/>
              </w:rPr>
              <w:t>EPS</w:t>
            </w:r>
            <w:r w:rsidRPr="00082425">
              <w:rPr>
                <w:rFonts w:ascii="Times New Roman" w:eastAsia="宋体" w:hAnsi="Times New Roman" w:cs="Times New Roman"/>
              </w:rPr>
              <w:t>）生产、群体感应（</w:t>
            </w:r>
            <w:r w:rsidRPr="00082425">
              <w:rPr>
                <w:rFonts w:ascii="Times New Roman" w:eastAsia="宋体" w:hAnsi="Times New Roman" w:cs="Times New Roman"/>
              </w:rPr>
              <w:t>QS</w:t>
            </w:r>
            <w:r w:rsidRPr="00082425">
              <w:rPr>
                <w:rFonts w:ascii="Times New Roman" w:eastAsia="宋体" w:hAnsi="Times New Roman" w:cs="Times New Roman"/>
              </w:rPr>
              <w:t>）以及细胞表面疏水性（</w:t>
            </w:r>
            <w:r w:rsidRPr="00082425">
              <w:rPr>
                <w:rFonts w:ascii="Times New Roman" w:eastAsia="宋体" w:hAnsi="Times New Roman" w:cs="Times New Roman"/>
              </w:rPr>
              <w:t>CSH</w:t>
            </w:r>
            <w:r w:rsidRPr="00082425">
              <w:rPr>
                <w:rFonts w:ascii="Times New Roman" w:eastAsia="宋体" w:hAnsi="Times New Roman" w:cs="Times New Roman"/>
              </w:rPr>
              <w:t>）</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{"citationID":"Olp0ywvE","properties":{"formattedCitation":"\\super [9]\\nosupersub{}","plainCitation":"[9]","noteIndex":0},"citationItems":[{"id":6016,"uris":["http://zotero.org/users/8103267/items/7V33ID7U"],"itemData":{"id":6016,"type":"article-journal","abstract":"INTRODUCTION: This study aimed to examine the anti-biofilm activity and mechanism of gallic acid (GA), kaempferol-7-O-glucoside (K7G) and apigenin-7-O-glucoside (A7G) against Staphylococcus aureus and Escherichia coli.\nMETHODS: The antibacterial activity of the natural compounds was determined by serial dilution method. The inhibitory activity of natural compounds on biofilms was determined by crystal violet staining method. The effects and mechanisms of natural compounds on bacterial biofilms were analyzed by atomic force microscopy.\nRESULTS: In our study, compared with GA and K7G, A7G was found to exhibit the strongest anti-biofilm and antibacterial activities. The minimum biofilm inhibitory concentration (MBIC) of A7G against S. aureus and E. coli was 0.20 mg/mL and 0.10 mg/mL, respectively. The inhibition rates of 1/2 MIC of A7G on biofilms of S. aureus and E. coli were 88.9%, and 83.2% respectively. Moreover, atomic force microscope (AFM) images showed the three-dimensional biofilm morphology of S. aureus and E. coli, and the results indicated that A7G was highly effective in biofilm inhibition.\nDISCUSSION: It was found that the inhibition of A7G on biofilm was achieved through inhibiting on exopolysaccharides (EPS), quorum sensing (QS), and cell surface hydrophobicity (CSH). A7G exerted strong anti-biofilm activities by inhibiting EPS production, QS, and CSH. Hence, A7G, as a natural substance, could be a promising novel antibacterial and anti-biofilm agent for control of biofilm in food industry.","container-title":"Infection and Drug Resistance","DOI":"10.2147/IDR.S387157","ISSN":"1178-6973","journalAbbreviation":"Infect Drug Resist","language":"eng","page":"2129-2140","PMID":"37070126","PMCID":"PMC10105580","source":"PubMed","title":"The Anti-Biofilm Activity and Mechanism of Apigenin-7-O-Glucoside Against Staphylococcus aureus and Escherichia coli","volume":"16","author":[{"family":"Pei","given":"Ze-Jun"},{"family":"Li","given":"Chengcheng"},{"family":"Dai","given":"Wenna"},{"family":"Lou","given":"Zaixiang"},{"family":"Sun","given":"Xin"},{"family":"Wang","given":"Hongxin"},{"family":"Khan","given":"Azmat Ali"},{"family":"Wan","given":"Chunpeng"}],"issued":{"date-parts":[["2023"]]}}}],"schema":"https://github.com/citation-style-language/schema/raw/master/csl-citation.json"}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[9]</w:t>
            </w:r>
            <w:r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Pr="00082425">
              <w:rPr>
                <w:rFonts w:ascii="Times New Roman" w:eastAsia="宋体" w:hAnsi="Times New Roman" w:cs="Times New Roman"/>
              </w:rPr>
              <w:t>A7G</w:t>
            </w:r>
            <w:r w:rsidRPr="00082425">
              <w:rPr>
                <w:rFonts w:ascii="Times New Roman" w:eastAsia="宋体" w:hAnsi="Times New Roman" w:cs="Times New Roman"/>
              </w:rPr>
              <w:t>还被证明能够通过抑制黄嘌呤氧化酶活性和调节肾脏尿酸转运体来改善高尿酸血症，从而在痛风和相关代谢综合征的治疗中具有潜在应用</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{"citationID":"cgNzBcg6","properties":{"formattedCitation":"\\super [10]\\nosupersub{}","plainCitation":"[10]","noteIndex":0},"citationItems":[{"id":6019,"uris":["http://zotero.org/users/8103267/items/4WMDWU3A"],"itemData":{"id":6019,"type":"article-journal","abstract":"BACKGROUND: Hyperuricemia is an important pathological basis of gout and a distinct hazard factor for metabolic syndromes and cardiovascular and chronic renal disease, but lacks safe and effective treatments currently. Paeonia × suffruticosa Andrews leaf effectively reduced serum uric acid in gout patients; however, the material foundation and the mechanism remain unclear.\nPURPOSE: To determine the primary active components and mechanism of P. suffruticosa leaf in hyperuricemic mice.\nMETHODS: The chemical constituents of P. suffruticosa leaf was identified using high-performance liquid chromatographic analysis. The anti-hyperuricemic activity of P. suffruticosa leaf extract (12.5, 25, 50, 100, and 200 mg/kg) and its components was evaluated in hyperuricemic mice induced by a high purine diet for 14 days. Then, the urate-lowering effects of apigenin 7-O-glucoside (0.09, 0.18, and 0.36 mg/kg) were assessed in another hyperuricemic mice model built by administrating potassium oxonate and adenine for 4 weeks. The inhibitory effect of apigenin 7-O-glucoside on uric acid production was elucidated by investigating xanthine oxidase activity in vitro and in serum and the liver and through molecular docking. Immunofluorescence and western blot analyses of the expression of renal urate transporter 1 (URAT1), glucose transporter 9 (GLUT9), organic anion transporters 1 (OAT1), and ATP-binding cassette G member 2 (ABCG2) proteins elucidated how apigenin 7-O-glucoside promoted uric acid excretion.\nRESULTS: Six compounds were identified in P. suffruticosa leaf: gallic acid, methyl gallate, oxypaeoniflorin, paeoniflorin, galloylpaeoniflorin, and apigenin 7-O-glucoside. P. suffruticosa leaf extract significantly attenuated increased serum uric acid, creatinine, and xanthine oxidase activity in hyperuricemic mice. Apigenin 7-O-glucoside from P. suffruticosa leaf reduced uric acid, creatinine, and malondialdehyde serum levels, increased superoxide dismutase activity, and partially restored the spleen coefficient in hyperuricemic mice. Apigenin 7-O-glucoside inhibited xanthine oxidase activity in vitro and decreased serum and liver xanthine oxidase activity and liver xanthine oxidase protein expression in hyperuricemic mice. Molecular docking revealed that apigenin 7-O-glucoside bound to xanthine oxidase. Apigenin 7-O-glucoside facilitated uric acid excretion by modulating the renal urate transporters URAT1, GLUT9, OAT1, and ABCG2. Apigenin 7-O-glucoside protected against renal damage and oxidative stress caused by hyperuricemia by reducing serum creatinine, blood urea nitrogen, malondialdehyde, and renal reactive oxygen species levels; increasing serum and renal superoxide dismutase activity; restoring the renal coefficient; and reducing renal pathological injury.\nCONCLUSION: Apigenin 7-O-glucoside is the main urate-lowering active component of P. suffruticosa leaf extract in the hyperuricemic mice. It suppressed liver xanthine oxidase activity to decrease uric acid synthesis and modulated renal urate transporters to stimulate uric acid excretion, alleviating kidney damage caused by hyperuricemia.","container-title":"Phytomedicine: International Journal of Phytotherapy and Phytopharmacology","DOI":"10.1016/j.phymed.2023.154957","ISSN":"1618-095X","journalAbbreviation":"Phytomedicine","language":"eng","page":"154957","PMID":"37478683","source":"PubMed","title":"Paeonia × suffruticosa Andrews leaf extract and its main component apigenin 7-O-glucoside ameliorate hyperuricemia by inhibiting xanthine oxidase activity and regulating renal urate transporters","volume":"118","author":[{"family":"Zhang","given":"Yan"},{"family":"Li","given":"Yao"},{"family":"Li","given":"Chang"},{"family":"Zhao","given":"Yani"},{"family":"Xu","given":"Lu"},{"family":"Ma","given":"Shanbo"},{"family":"Lin","given":"Fen"},{"family":"Xie","given":"Yanhua"},{"family":"An","given":"Junming"},{"family":"Wang","given":"Siwang"}],"issued":{"date-parts":[["2023",9]]}}}],"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[10]</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7ADCF0D1" w14:textId="06A19404" w:rsidR="00AB6AC6" w:rsidRPr="00082425" w:rsidRDefault="00AB6AC6" w:rsidP="00AB6AC6">
            <w:pPr>
              <w:spacing w:line="360" w:lineRule="auto"/>
              <w:rPr>
                <w:rFonts w:ascii="Times New Roman" w:eastAsia="宋体" w:hAnsi="Times New Roman" w:cs="Times New Roman"/>
              </w:rPr>
            </w:pPr>
            <w:r w:rsidRPr="00082425">
              <w:rPr>
                <w:rFonts w:ascii="Times New Roman" w:eastAsia="宋体" w:hAnsi="Times New Roman" w:cs="Times New Roman"/>
              </w:rPr>
              <w:t>在</w:t>
            </w:r>
            <w:r w:rsidR="00FE0C39" w:rsidRPr="00082425">
              <w:rPr>
                <w:rFonts w:ascii="Times New Roman" w:eastAsia="宋体" w:hAnsi="Times New Roman" w:cs="Times New Roman"/>
              </w:rPr>
              <w:t>抗肿瘤</w:t>
            </w:r>
            <w:r w:rsidRPr="00082425">
              <w:rPr>
                <w:rFonts w:ascii="Times New Roman" w:eastAsia="宋体" w:hAnsi="Times New Roman" w:cs="Times New Roman"/>
              </w:rPr>
              <w:t>方面，</w:t>
            </w:r>
            <w:r w:rsidRPr="00082425">
              <w:rPr>
                <w:rFonts w:ascii="Times New Roman" w:eastAsia="宋体" w:hAnsi="Times New Roman" w:cs="Times New Roman"/>
              </w:rPr>
              <w:t>A7G</w:t>
            </w:r>
            <w:r w:rsidRPr="00082425">
              <w:rPr>
                <w:rFonts w:ascii="Times New Roman" w:eastAsia="宋体" w:hAnsi="Times New Roman" w:cs="Times New Roman"/>
              </w:rPr>
              <w:t>通过多种途径发挥作用。例如，在宫颈癌</w:t>
            </w:r>
            <w:r w:rsidRPr="00082425">
              <w:rPr>
                <w:rFonts w:ascii="Times New Roman" w:eastAsia="宋体" w:hAnsi="Times New Roman" w:cs="Times New Roman"/>
              </w:rPr>
              <w:t>HeLa</w:t>
            </w:r>
            <w:r w:rsidRPr="00082425">
              <w:rPr>
                <w:rFonts w:ascii="Times New Roman" w:eastAsia="宋体" w:hAnsi="Times New Roman" w:cs="Times New Roman"/>
              </w:rPr>
              <w:t>细胞中，</w:t>
            </w:r>
            <w:r w:rsidRPr="00082425">
              <w:rPr>
                <w:rFonts w:ascii="Times New Roman" w:eastAsia="宋体" w:hAnsi="Times New Roman" w:cs="Times New Roman"/>
              </w:rPr>
              <w:t>A7G</w:t>
            </w:r>
            <w:r w:rsidRPr="00082425">
              <w:rPr>
                <w:rFonts w:ascii="Times New Roman" w:eastAsia="宋体" w:hAnsi="Times New Roman" w:cs="Times New Roman"/>
              </w:rPr>
              <w:t>通过抑制</w:t>
            </w:r>
            <w:r w:rsidRPr="00082425">
              <w:rPr>
                <w:rFonts w:ascii="Times New Roman" w:eastAsia="宋体" w:hAnsi="Times New Roman" w:cs="Times New Roman"/>
              </w:rPr>
              <w:t>PTEN/PI3K/AKT</w:t>
            </w:r>
            <w:r w:rsidRPr="00082425">
              <w:rPr>
                <w:rFonts w:ascii="Times New Roman" w:eastAsia="宋体" w:hAnsi="Times New Roman" w:cs="Times New Roman"/>
              </w:rPr>
              <w:t>信号通路，诱导细胞凋亡并抑制细胞迁移</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{"citationID":"9yIKn2jJ","properties":{"formattedCitation":"\\super [11]\\nosupersub{}","plainCitation":"[11]","noteIndex":0},"citationItems":[{"id":6021,"uris":["http://zotero.org/users/8103267/items/I4QI7LU9"],"itemData":{"id":6021,"type":"article-journal","abstract":"Epidemiologic evidence promote the inclusion of flavones in diet due to their inhibitory effects on certain types of cancers, particularly in women. Among the naturally occurring plant flavonoids, Apigenin 7-O-glucoside (AGL) is endowed with anti-inflammatory, anti-oxidant, and anti-cancer activities. However, its mechanism of action on cervical cancer, the fourth largest cancer in women, has not yet been clarified. In the current study, we have determined the effect of AGL on human cervical cancer cells and studied its molecular mechanism against cervical cancer. The results showed that AGL inhibited the proliferation of HeLa cells (IC50 was 47.26 μM at 48 h) by inducing apoptosis. Furthermore, AGL treatment caused G0/G1 phase arrest, reduced mitochondrial membrane potential (MMP), and upgraded intracellular ROS production. AGL could promote the release of cytochrome c by regulating Bcl-2 family proteins, and then activated caspase 9/3 to promote cell apoptosis. Moreover, AGL treatment promoted the expression of p16 INK4A, while inhibited the expression of Cyclin A/D/E and CDK2/6. At the same time in HeLa cells treated with AGL, the PTEN/PI3K/AKT pathway was inhibited in a concentration-dependent manner, and cell migration was also impeded correspondingly through the matrix metalloproteinase 2 and 9. Our study may provide a new research direction for harnessing the novel natural compounds in cervical cancer treatment.","container-title":"Food and Chemical Toxicology: An International Journal Published for the British Industrial Biological Research Association","DOI":"10.1016/j.fct.2020.111843","ISSN":"1873-6351","journalAbbreviation":"Food Chem Toxicol","language":"eng","page":"111843","PMID":"33152472","source":"PubMed","title":"Apigenin 7-O-glucoside promotes cell apoptosis through the PTEN/PI3K/AKT pathway and inhibits cell migration in cervical cancer HeLa cells","volume":"146","author":[{"family":"Liu","given":"Miao-Miao"},{"family":"Ma","given":"Run-Hui"},{"family":"Ni","given":"Zhi-Jing"},{"family":"Thakur","given":"Kiran"},{"family":"Cespedes-Acuña","given":"Carlos L."},{"family":"Jiang","given":"Li"},{"family":"Wei","given":"Zhao-Jun"}],"issued":{"date-parts":[["2020",12]]}}}],"schema":"https://github.com/citation-style-language/schema/raw/master/csl-citation.json"}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[11]</w:t>
            </w:r>
            <w:r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Pr="00082425">
              <w:rPr>
                <w:rFonts w:ascii="Times New Roman" w:eastAsia="宋体" w:hAnsi="Times New Roman" w:cs="Times New Roman"/>
              </w:rPr>
              <w:t>A7G</w:t>
            </w:r>
            <w:r w:rsidRPr="00082425">
              <w:rPr>
                <w:rFonts w:ascii="Times New Roman" w:eastAsia="宋体" w:hAnsi="Times New Roman" w:cs="Times New Roman"/>
              </w:rPr>
              <w:t>在口腔癌细胞中通过调节基质金属蛋白酶</w:t>
            </w:r>
            <w:r w:rsidRPr="00082425">
              <w:rPr>
                <w:rFonts w:ascii="Times New Roman" w:eastAsia="宋体" w:hAnsi="Times New Roman" w:cs="Times New Roman"/>
              </w:rPr>
              <w:t>-2</w:t>
            </w:r>
            <w:r w:rsidRPr="00082425">
              <w:rPr>
                <w:rFonts w:ascii="Times New Roman" w:eastAsia="宋体" w:hAnsi="Times New Roman" w:cs="Times New Roman"/>
              </w:rPr>
              <w:t>（</w:t>
            </w:r>
            <w:r w:rsidRPr="00082425">
              <w:rPr>
                <w:rFonts w:ascii="Times New Roman" w:eastAsia="宋体" w:hAnsi="Times New Roman" w:cs="Times New Roman"/>
              </w:rPr>
              <w:t>MMP-2</w:t>
            </w:r>
            <w:r w:rsidRPr="00082425">
              <w:rPr>
                <w:rFonts w:ascii="Times New Roman" w:eastAsia="宋体" w:hAnsi="Times New Roman" w:cs="Times New Roman"/>
              </w:rPr>
              <w:t>）表达和细胞外信号调节激酶（</w:t>
            </w:r>
            <w:r w:rsidRPr="00082425">
              <w:rPr>
                <w:rFonts w:ascii="Times New Roman" w:eastAsia="宋体" w:hAnsi="Times New Roman" w:cs="Times New Roman"/>
              </w:rPr>
              <w:t>ERK</w:t>
            </w:r>
            <w:r w:rsidRPr="00082425">
              <w:rPr>
                <w:rFonts w:ascii="Times New Roman" w:eastAsia="宋体" w:hAnsi="Times New Roman" w:cs="Times New Roman"/>
              </w:rPr>
              <w:t>）通路，抑制细胞迁移和侵袭</w:t>
            </w:r>
            <w:r w:rsidRPr="00082425">
              <w:rPr>
                <w:rFonts w:ascii="Times New Roman" w:eastAsia="宋体" w:hAnsi="Times New Roman" w:cs="Times New Roman"/>
              </w:rPr>
              <w:t>[4]</w:t>
            </w:r>
            <w:r w:rsidRPr="00082425">
              <w:rPr>
                <w:rFonts w:ascii="Times New Roman" w:eastAsia="宋体" w:hAnsi="Times New Roman" w:cs="Times New Roman"/>
              </w:rPr>
              <w:t>。这些研究表明，</w:t>
            </w:r>
            <w:r w:rsidRPr="00082425">
              <w:rPr>
                <w:rFonts w:ascii="Times New Roman" w:eastAsia="宋体" w:hAnsi="Times New Roman" w:cs="Times New Roman"/>
              </w:rPr>
              <w:t>A7G</w:t>
            </w:r>
            <w:r w:rsidRPr="00082425">
              <w:rPr>
                <w:rFonts w:ascii="Times New Roman" w:eastAsia="宋体" w:hAnsi="Times New Roman" w:cs="Times New Roman"/>
              </w:rPr>
              <w:t>在多种癌症的治疗中具有潜在的应用价值。</w:t>
            </w:r>
          </w:p>
          <w:p w14:paraId="090F7312" w14:textId="1C7672A0" w:rsidR="00AB6AC6" w:rsidRPr="00082425" w:rsidRDefault="00AB6AC6" w:rsidP="00AB6AC6">
            <w:pPr>
              <w:spacing w:line="360" w:lineRule="auto"/>
              <w:rPr>
                <w:rFonts w:ascii="Times New Roman" w:eastAsia="宋体" w:hAnsi="Times New Roman" w:cs="Times New Roman"/>
              </w:rPr>
            </w:pPr>
            <w:r w:rsidRPr="00082425">
              <w:rPr>
                <w:rFonts w:ascii="Times New Roman" w:eastAsia="宋体" w:hAnsi="Times New Roman" w:cs="Times New Roman"/>
              </w:rPr>
              <w:t>A7G</w:t>
            </w:r>
            <w:r w:rsidRPr="00082425">
              <w:rPr>
                <w:rFonts w:ascii="Times New Roman" w:eastAsia="宋体" w:hAnsi="Times New Roman" w:cs="Times New Roman"/>
              </w:rPr>
              <w:t>还表现出显著的抗炎和抗氧化活性。在炎症反应中，</w:t>
            </w:r>
            <w:r w:rsidRPr="00082425">
              <w:rPr>
                <w:rFonts w:ascii="Times New Roman" w:eastAsia="宋体" w:hAnsi="Times New Roman" w:cs="Times New Roman"/>
              </w:rPr>
              <w:t>A7G</w:t>
            </w:r>
            <w:r w:rsidRPr="00082425">
              <w:rPr>
                <w:rFonts w:ascii="Times New Roman" w:eastAsia="宋体" w:hAnsi="Times New Roman" w:cs="Times New Roman"/>
              </w:rPr>
              <w:t>通过抑制</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/AP-1/PI3K-Akt</w:t>
            </w:r>
            <w:r w:rsidRPr="00082425">
              <w:rPr>
                <w:rFonts w:ascii="Times New Roman" w:eastAsia="宋体" w:hAnsi="Times New Roman" w:cs="Times New Roman"/>
              </w:rPr>
              <w:t>信号通</w:t>
            </w:r>
            <w:r w:rsidRPr="00082425">
              <w:rPr>
                <w:rFonts w:ascii="Times New Roman" w:eastAsia="宋体" w:hAnsi="Times New Roman" w:cs="Times New Roman"/>
              </w:rPr>
              <w:lastRenderedPageBreak/>
              <w:t>路，减少炎症因子的产生</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{"citationID":"z9LtFpSh","properties":{"formattedCitation":"\\super [12]\\nosupersub{}","plainCitation":"[12]","noteIndex":0},"citationItems":[{"id":6023,"uris":["http://zotero.org/users/8103267/items/N5A2GMD4"],"itemData":{"id":6023,"type":"article-journal","abstract":"Oral squamous cell carcinoma is the sixth most common type of cancer globally, which is associated with high rates of cancer-related deaths. Metastasis to distant organs is the main reason behind worst prognostic outcome of oral cancer. In the present study, we aimed at evaluating the effects of a natural plant flavonoid, luteolin-7-O-glucoside, on oral cancer cell migration and invasion. The study findings showed that in addition to preventing cell proliferation, luteolin-7-O-glucoside caused a significant reduction in oral cancer cell migration and invasion. Mechanistically, luteolin-7-O-glucoside caused a reduction in cancer metastasis by reducing p38 phosphorylation and downregulating matrix metalloproteinase (MMP)-2 expression. Using a p38 inhibitor, SB203580, we proved that luteolin-7-O-glucoside exerts anti-migratory effects by suppressing p38-mediated increased expression of MMP-2. This is the first study to demonstrate the luteolin-7-O-glucoside inhibits cell migration and invasion by regulating MMP-2 expression and extracellular signal-regulated kinase pathway in human oral cancer cell. The study identifies luteolin-7-O-glucoside as a potential anti-cancer candidate that can be utilized clinically for improving oral cancer prognosis.","container-title":"Biomolecules","DOI":"10.3390/biom10040502","ISSN":"2218-273X","issue":"4","journalAbbreviation":"Biomolecules","language":"eng","page":"502","PMID":"32224968","PMCID":"PMC7226481","source":"PubMed","title":"Luteolin-7-O-Glucoside Inhibits Oral Cancer Cell Migration and Invasion by Regulating Matrix Metalloproteinase-2 Expression and Extracellular Signal-Regulated Kinase Pathway","volume":"10","author":[{"family":"Velmurugan","given":"Bharath Kumar"},{"family":"Lin","given":"Jen-Tsun"},{"family":"Mahalakshmi","given":"B."},{"family":"Chuang","given":"Yi-Ching"},{"family":"Lin","given":"Chia-Chieh"},{"family":"Lo","given":"Yu-Sheng"},{"family":"Hsieh","given":"Ming-Ju"},{"family":"Chen","given":"Mu-Kuan"}],"issued":{"date-parts":[["2020",3,26]]}}}],"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[12]</w:t>
            </w:r>
            <w:r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Pr="00082425">
              <w:rPr>
                <w:rFonts w:ascii="Times New Roman" w:eastAsia="宋体" w:hAnsi="Times New Roman" w:cs="Times New Roman"/>
              </w:rPr>
              <w:t>A7G</w:t>
            </w:r>
            <w:r w:rsidRPr="00082425">
              <w:rPr>
                <w:rFonts w:ascii="Times New Roman" w:eastAsia="宋体" w:hAnsi="Times New Roman" w:cs="Times New Roman"/>
              </w:rPr>
              <w:t>在氧化应激条件下，通过诱导血红素氧合酶</w:t>
            </w:r>
            <w:r w:rsidRPr="00082425">
              <w:rPr>
                <w:rFonts w:ascii="Times New Roman" w:eastAsia="宋体" w:hAnsi="Times New Roman" w:cs="Times New Roman"/>
              </w:rPr>
              <w:t>-1</w:t>
            </w:r>
            <w:r w:rsidRPr="00082425">
              <w:rPr>
                <w:rFonts w:ascii="Times New Roman" w:eastAsia="宋体" w:hAnsi="Times New Roman" w:cs="Times New Roman"/>
              </w:rPr>
              <w:t>（</w:t>
            </w:r>
            <w:r w:rsidRPr="00082425">
              <w:rPr>
                <w:rFonts w:ascii="Times New Roman" w:eastAsia="宋体" w:hAnsi="Times New Roman" w:cs="Times New Roman"/>
              </w:rPr>
              <w:t>HO-1</w:t>
            </w:r>
            <w:r w:rsidRPr="00082425">
              <w:rPr>
                <w:rFonts w:ascii="Times New Roman" w:eastAsia="宋体" w:hAnsi="Times New Roman" w:cs="Times New Roman"/>
              </w:rPr>
              <w:t>）表达，增强细胞的抗氧化能力</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{"citationID":"tbPB9IQj","properties":{"formattedCitation":"\\super [13]\\nosupersub{}","plainCitation":"[13]","noteIndex":0},"citationItems":[{"id":6026,"uris":["http://zotero.org/users/8103267/items/W229KXD3"],"itemData":{"id":6026,"type":"article-journal","abstract":"It has been understood that glycosidic forms of flavonoids were hydrolyzed by gut bacteria and absorbed as aglycones. However, several reports suggested that glycosides were partly absorbed without hydrolysis and remained biologically active. In this study, we evaluated the antioxidative potential of luteolin and luteolin-7-O-glucoside, glycosidic form of luteolin, against the oxidative damage and compared their antioxidative mechanisms in RAW 264.7 cells. Heme oxygenase-1 (HO-1), one of the phase II enzymes showing an antioxidative activity, was potently induced by luteolin and luteolin-7-O-glucoside treatment, which was in accordance with the translocated nuclear factor-erythroid 2 p45-related factor 2 (Nrf2) into nucleus. Moreover, luteolin and the luteolin-7-O-glucoside activated HO-1 expression by p38 and c-Jun NH2-terminal kinase (JNK) regulation. In order to identify the antioxidation potential by HO-1, tert-butyl hydroperoxide (t-BHP)-induced oxidative damage was applied and ameliorated by luteolin and the luteolin-7-O-glucoside treatment in a dose dependent manner, which was confirmed by HO-1 selective inhibitor and inducer, tin protoporphyrin (SnPP) and cobalt protoporphyrin (CoPP), respectively. Consequently, luteolin and luteolin-7-O-glucoside potently strengthen the HO-1-mediated antioxidative potential through the modulation of the Nrf2/MAPK signaling pathways.","container-title":"Food and Chemical Toxicology: An International Journal Published for the British Industrial Biological Research Association","DOI":"10.1016/j.fct.2013.12.017","ISSN":"1873-6351","journalAbbreviation":"Food Chem Toxicol","language":"eng","page":"70-75","PMID":"24361407","source":"PubMed","title":"Luteolin and luteolin-7-O-glucoside strengthen antioxidative potential through the modulation of Nrf2/MAPK mediated HO-1 signaling cascade in RAW 264.7 cells","volume":"65","author":[{"family":"Song","given":"Young Sun"},{"family":"Park","given":"Chung Mu"}],"issued":{"date-parts":[["2014",3]]}}}],"schema":"https://github.com/citation-style-language/schema/raw/master/csl-citation.json"}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[13]</w:t>
            </w:r>
            <w:r w:rsidRPr="00082425">
              <w:rPr>
                <w:rFonts w:ascii="Times New Roman" w:eastAsia="宋体" w:hAnsi="Times New Roman" w:cs="Times New Roman"/>
              </w:rPr>
              <w:fldChar w:fldCharType="end"/>
            </w:r>
            <w:r w:rsidRPr="00082425">
              <w:rPr>
                <w:rFonts w:ascii="Times New Roman" w:eastAsia="宋体" w:hAnsi="Times New Roman" w:cs="Times New Roman"/>
              </w:rPr>
              <w:t>。这些特性使得</w:t>
            </w:r>
            <w:r w:rsidRPr="00082425">
              <w:rPr>
                <w:rFonts w:ascii="Times New Roman" w:eastAsia="宋体" w:hAnsi="Times New Roman" w:cs="Times New Roman"/>
              </w:rPr>
              <w:t>A7G</w:t>
            </w:r>
            <w:r w:rsidRPr="00082425">
              <w:rPr>
                <w:rFonts w:ascii="Times New Roman" w:eastAsia="宋体" w:hAnsi="Times New Roman" w:cs="Times New Roman"/>
              </w:rPr>
              <w:t>在多种炎症性疾病的治疗中具有潜在的应用前景。</w:t>
            </w:r>
          </w:p>
          <w:p w14:paraId="3D1D56B0" w14:textId="7FF280E9" w:rsidR="00AB6AC6" w:rsidRPr="00082425" w:rsidRDefault="00AB6AC6" w:rsidP="00A872CD">
            <w:pPr>
              <w:spacing w:line="360" w:lineRule="auto"/>
              <w:rPr>
                <w:rFonts w:ascii="Times New Roman" w:eastAsia="宋体" w:hAnsi="Times New Roman" w:cs="Times New Roman"/>
              </w:rPr>
            </w:pPr>
            <w:r w:rsidRPr="00082425">
              <w:rPr>
                <w:rFonts w:ascii="Times New Roman" w:eastAsia="宋体" w:hAnsi="Times New Roman" w:cs="Times New Roman"/>
              </w:rPr>
              <w:t>综上所述，芹菜素</w:t>
            </w:r>
            <w:r w:rsidRPr="00082425">
              <w:rPr>
                <w:rFonts w:ascii="Times New Roman" w:eastAsia="宋体" w:hAnsi="Times New Roman" w:cs="Times New Roman"/>
              </w:rPr>
              <w:t>-7-</w:t>
            </w:r>
            <w:r w:rsidRPr="00082425">
              <w:rPr>
                <w:rFonts w:ascii="Times New Roman" w:eastAsia="宋体" w:hAnsi="Times New Roman" w:cs="Times New Roman"/>
                <w:i/>
                <w:iCs/>
              </w:rPr>
              <w:t>O</w:t>
            </w:r>
            <w:r w:rsidRPr="00082425">
              <w:rPr>
                <w:rFonts w:ascii="Times New Roman" w:eastAsia="宋体" w:hAnsi="Times New Roman" w:cs="Times New Roman"/>
              </w:rPr>
              <w:t>-</w:t>
            </w:r>
            <w:r w:rsidRPr="00082425">
              <w:rPr>
                <w:rFonts w:ascii="Times New Roman" w:eastAsia="宋体" w:hAnsi="Times New Roman" w:cs="Times New Roman"/>
              </w:rPr>
              <w:t>葡萄糖苷作为一种多功能的天然化合物，在抗菌、</w:t>
            </w:r>
            <w:r w:rsidR="00FE0C39" w:rsidRPr="00082425">
              <w:rPr>
                <w:rFonts w:ascii="Times New Roman" w:eastAsia="宋体" w:hAnsi="Times New Roman" w:cs="Times New Roman"/>
              </w:rPr>
              <w:t>抗肿瘤</w:t>
            </w:r>
            <w:r w:rsidRPr="00082425">
              <w:rPr>
                <w:rFonts w:ascii="Times New Roman" w:eastAsia="宋体" w:hAnsi="Times New Roman" w:cs="Times New Roman"/>
              </w:rPr>
              <w:t>、抗炎和抗氧化等方面展现出广泛的生物活性。这些研究为</w:t>
            </w:r>
            <w:r w:rsidRPr="00082425">
              <w:rPr>
                <w:rFonts w:ascii="Times New Roman" w:eastAsia="宋体" w:hAnsi="Times New Roman" w:cs="Times New Roman"/>
              </w:rPr>
              <w:t>A7G</w:t>
            </w:r>
            <w:r w:rsidRPr="00082425">
              <w:rPr>
                <w:rFonts w:ascii="Times New Roman" w:eastAsia="宋体" w:hAnsi="Times New Roman" w:cs="Times New Roman"/>
              </w:rPr>
              <w:t>在食品、药品和化妆品等领域的应用提供了科学依据，并为其在相关疾病的治疗中提供了新的研究方向。未来的研究可以进一步探索</w:t>
            </w:r>
            <w:r w:rsidRPr="00082425">
              <w:rPr>
                <w:rFonts w:ascii="Times New Roman" w:eastAsia="宋体" w:hAnsi="Times New Roman" w:cs="Times New Roman"/>
              </w:rPr>
              <w:t>A7G</w:t>
            </w:r>
            <w:r w:rsidRPr="00082425">
              <w:rPr>
                <w:rFonts w:ascii="Times New Roman" w:eastAsia="宋体" w:hAnsi="Times New Roman" w:cs="Times New Roman"/>
              </w:rPr>
              <w:t>的机制和临床应用，以充分发挥其潜在的健康益处。</w:t>
            </w:r>
          </w:p>
          <w:p w14:paraId="46CB315E" w14:textId="5CBECC92" w:rsidR="002B6218" w:rsidRPr="00082425" w:rsidRDefault="002B6218" w:rsidP="00A872CD">
            <w:pPr>
              <w:spacing w:line="360" w:lineRule="auto"/>
              <w:rPr>
                <w:rFonts w:ascii="Times New Roman" w:eastAsia="宋体" w:hAnsi="Times New Roman" w:cs="Times New Roman"/>
              </w:rPr>
            </w:pPr>
          </w:p>
        </w:tc>
      </w:tr>
      <w:tr w:rsidR="00E95036" w:rsidRPr="00082425" w14:paraId="273422BD" w14:textId="275016D0" w:rsidTr="00EF2D00">
        <w:tc>
          <w:tcPr>
            <w:tcW w:w="829" w:type="dxa"/>
          </w:tcPr>
          <w:p w14:paraId="37D26413" w14:textId="7A11A831" w:rsidR="00E95036" w:rsidRPr="00082425" w:rsidRDefault="007F7180"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6</w:t>
            </w:r>
          </w:p>
        </w:tc>
        <w:tc>
          <w:tcPr>
            <w:tcW w:w="3355" w:type="dxa"/>
          </w:tcPr>
          <w:p w14:paraId="79CE23EB" w14:textId="77777777" w:rsidR="00E95036" w:rsidRPr="00082425" w:rsidRDefault="00E95036" w:rsidP="00A872CD">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橙皮</w:t>
            </w:r>
            <w:proofErr w:type="gramStart"/>
            <w:r w:rsidRPr="00082425">
              <w:rPr>
                <w:rFonts w:ascii="Times New Roman" w:eastAsia="宋体" w:hAnsi="Times New Roman" w:cs="Times New Roman"/>
                <w:color w:val="000000"/>
                <w:szCs w:val="22"/>
              </w:rPr>
              <w:t>苷</w:t>
            </w:r>
            <w:proofErr w:type="gramEnd"/>
          </w:p>
          <w:p w14:paraId="1D55FE0D" w14:textId="7444DB50"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Hesperedin</w:t>
            </w:r>
          </w:p>
        </w:tc>
        <w:tc>
          <w:tcPr>
            <w:tcW w:w="10133" w:type="dxa"/>
          </w:tcPr>
          <w:p w14:paraId="769114C3" w14:textId="77777777" w:rsidR="00E95036" w:rsidRPr="00082425" w:rsidRDefault="00E95036" w:rsidP="00A872CD">
            <w:pPr>
              <w:spacing w:line="360" w:lineRule="auto"/>
              <w:rPr>
                <w:rFonts w:ascii="Times New Roman" w:eastAsia="宋体" w:hAnsi="Times New Roman" w:cs="Times New Roman"/>
              </w:rPr>
            </w:pPr>
            <w:r w:rsidRPr="00082425">
              <w:rPr>
                <w:rFonts w:ascii="Times New Roman" w:eastAsia="宋体" w:hAnsi="Times New Roman" w:cs="Times New Roman"/>
              </w:rPr>
              <w:t>其生物活性包括在抗氧化、抗炎、</w:t>
            </w:r>
            <w:r w:rsidR="0084593F" w:rsidRPr="00082425">
              <w:rPr>
                <w:rFonts w:ascii="Times New Roman" w:eastAsia="宋体" w:hAnsi="Times New Roman" w:cs="Times New Roman"/>
              </w:rPr>
              <w:t>抗肿瘤</w:t>
            </w:r>
            <w:r w:rsidRPr="00082425">
              <w:rPr>
                <w:rFonts w:ascii="Times New Roman" w:eastAsia="宋体" w:hAnsi="Times New Roman" w:cs="Times New Roman"/>
              </w:rPr>
              <w:t>等多种作用</w:t>
            </w:r>
            <w:r w:rsidR="00AB6AC6" w:rsidRPr="00082425">
              <w:rPr>
                <w:rFonts w:ascii="Times New Roman" w:eastAsia="宋体" w:hAnsi="Times New Roman" w:cs="Times New Roman"/>
              </w:rPr>
              <w:t>。</w:t>
            </w:r>
          </w:p>
          <w:p w14:paraId="41FA8399" w14:textId="4B86403C" w:rsidR="00AB6AC6" w:rsidRPr="00082425" w:rsidRDefault="00AB6AC6" w:rsidP="00D14C4A">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rPr>
              <w:t>首先，</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通过抑制活性氧（</w:t>
            </w:r>
            <w:r w:rsidRPr="00082425">
              <w:rPr>
                <w:rFonts w:ascii="Times New Roman" w:eastAsia="宋体" w:hAnsi="Times New Roman" w:cs="Times New Roman"/>
              </w:rPr>
              <w:t>ROS</w:t>
            </w:r>
            <w:r w:rsidRPr="00082425">
              <w:rPr>
                <w:rFonts w:ascii="Times New Roman" w:eastAsia="宋体" w:hAnsi="Times New Roman" w:cs="Times New Roman"/>
              </w:rPr>
              <w:t>）生成和增强细胞内抗氧化防御机制，表现出强大的抗氧化能力。这种抗氧化作用主要通过激活</w:t>
            </w:r>
            <w:r w:rsidRPr="00082425">
              <w:rPr>
                <w:rFonts w:ascii="Times New Roman" w:eastAsia="宋体" w:hAnsi="Times New Roman" w:cs="Times New Roman"/>
              </w:rPr>
              <w:t>ERK/Nrf2</w:t>
            </w:r>
            <w:r w:rsidRPr="00082425">
              <w:rPr>
                <w:rFonts w:ascii="Times New Roman" w:eastAsia="宋体" w:hAnsi="Times New Roman" w:cs="Times New Roman"/>
              </w:rPr>
              <w:t>信号通路实现，从而增强细胞对氧化应激的抵抗力</w:t>
            </w:r>
            <w:r w:rsidR="00D14C4A"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{"citationID":"ZBkMrGME","properties":{"formattedCitation":"\\super [14]\\nosupersub{}","plainCitation":"[14]","noteIndex":0},"citationItems":[{"id":6028,"uris":["http://zotero.org/users/8103267/items/C2RA8R8J"],"itemData":{"id":6028,"type":"article-journal","abstract":"Inflammation and oxidative stress are two major causes of various life-threatening diseases. Hesperidin (Hsd) and its aglycone, hesperetin (Hst), are two flavonoids from citrus species that have numerous biological properties, particularly antioxidant and anti-inflammatory. New findings showed that the antioxidant activity of Hsd/Hst was not only limited to its radical scavenging activity, but it augmented the antioxidant cellular defenses via the ERK/Nrf2 signaling pathway as well. Various in vitro and in vivo studies have been conducted to evaluate Hsd, its metabolites, or its synthetic derivatives at reducing inflammatory targets including NF-κB, iNOS, and COX-2, and the markers of chronic inflammation. In this review, new findings regarding the molecular targets of Hsd and Hst in the reduction of oxidative stress are discussed. Also, in the anti-inflammatory section, we provide a summary of significant investigations concerning the mechanisms of action based on the studied inflammation models.","container-title":"Phytotherapy research: PTR","DOI":"10.1002/ptr.5256","ISSN":"1099-1573","issue":"3","journalAbbreviation":"Phytother Res","language":"eng","page":"323-331","PMID":"25394264","source":"PubMed","title":"Antioxidant and anti-inflammatory properties of the citrus flavonoids hesperidin and hesperetin: an updated review of their molecular mechanisms and experimental models","title-short":"Antioxidant and anti-inflammatory properties of the citrus flavonoids hesperidin and hesperetin","volume":"29","author":[{"family":"Parhiz","given":"Hamideh"},{"family":"Roohbakhsh","given":"Ali"},{"family":"Soltani","given":"Fatemeh"},{"family":"Rezaee","given":"Ramin"},{"family":"Iranshahi","given":"Mehrdad"}],"issued":{"date-parts":[["2015",3]]}}}],"schema":"https://github.com/citation-style-language/schema/raw/master/csl-citation.json"} </w:instrText>
            </w:r>
            <w:r w:rsidR="00D14C4A"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[14]</w:t>
            </w:r>
            <w:r w:rsidR="00D14C4A"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42974E76" w14:textId="08BEA1A0" w:rsidR="00AB6AC6" w:rsidRPr="00082425" w:rsidRDefault="00AB6AC6" w:rsidP="00AB6AC6">
            <w:pPr>
              <w:spacing w:line="360" w:lineRule="auto"/>
              <w:rPr>
                <w:rFonts w:ascii="Times New Roman" w:eastAsia="宋体" w:hAnsi="Times New Roman" w:cs="Times New Roman"/>
              </w:rPr>
            </w:pPr>
            <w:r w:rsidRPr="00082425">
              <w:rPr>
                <w:rFonts w:ascii="Times New Roman" w:eastAsia="宋体" w:hAnsi="Times New Roman" w:cs="Times New Roman"/>
              </w:rPr>
              <w:t>此外，</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在抗炎方面也表现出显著的效果。研究发现，</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能够通过抑制核因子</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）、诱导型一氧化氮合酶（</w:t>
            </w:r>
            <w:proofErr w:type="spellStart"/>
            <w:r w:rsidRPr="00082425">
              <w:rPr>
                <w:rFonts w:ascii="Times New Roman" w:eastAsia="宋体" w:hAnsi="Times New Roman" w:cs="Times New Roman"/>
              </w:rPr>
              <w:t>iNOS</w:t>
            </w:r>
            <w:proofErr w:type="spellEnd"/>
            <w:r w:rsidRPr="00082425">
              <w:rPr>
                <w:rFonts w:ascii="Times New Roman" w:eastAsia="宋体" w:hAnsi="Times New Roman" w:cs="Times New Roman"/>
              </w:rPr>
              <w:t>）和环氧合酶</w:t>
            </w:r>
            <w:r w:rsidRPr="00082425">
              <w:rPr>
                <w:rFonts w:ascii="Times New Roman" w:eastAsia="宋体" w:hAnsi="Times New Roman" w:cs="Times New Roman"/>
              </w:rPr>
              <w:t>-2</w:t>
            </w:r>
            <w:r w:rsidRPr="00082425">
              <w:rPr>
                <w:rFonts w:ascii="Times New Roman" w:eastAsia="宋体" w:hAnsi="Times New Roman" w:cs="Times New Roman"/>
              </w:rPr>
              <w:t>（</w:t>
            </w:r>
            <w:r w:rsidRPr="00082425">
              <w:rPr>
                <w:rFonts w:ascii="Times New Roman" w:eastAsia="宋体" w:hAnsi="Times New Roman" w:cs="Times New Roman"/>
              </w:rPr>
              <w:t>COX-2</w:t>
            </w:r>
            <w:r w:rsidRPr="00082425">
              <w:rPr>
                <w:rFonts w:ascii="Times New Roman" w:eastAsia="宋体" w:hAnsi="Times New Roman" w:cs="Times New Roman"/>
              </w:rPr>
              <w:t>）的表达，减少炎症介质的产生，从而发挥抗炎作用</w:t>
            </w:r>
            <w:r w:rsidR="00D14C4A"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{"citationID":"pGrKeGaT","properties":{"formattedCitation":"\\super [14]\\nosupersub{}","plainCitation":"[14]","noteIndex":0},"citationItems":[{"id":6028,"uris":["http://zotero.org/users/8103267/items/C2RA8R8J"],"itemData":{"id":6028,"type":"article-journal","abstract":"Inflammation and oxidative stress are two major causes of various life-threatening diseases. Hesperidin (Hsd) and its aglycone, hesperetin (Hst), are two flavonoids from citrus species that have numerous biological properties, particularly antioxidant and anti-inflammatory. New findings showed that the antioxidant activity of Hsd/Hst was not only limited to its radical scavenging activity, but it augmented the antioxidant cellular defenses via the ERK/Nrf2 signaling pathway as well. Various in vitro and in vivo studies have been conducted to evaluate Hsd, its metabolites, or its synthetic derivatives at reducing inflammatory targets including NF-κB, iNOS, and COX-2, and the markers of chronic inflammation. In this review, new findings regarding the molecular targets of Hsd and Hst in the reduction of oxidative stress are discussed. Also, in the anti-inflammatory section, we provide a summary of significant investigations concerning the mechanisms of action based on the studied inflammation models.","container-title":"Phytotherapy research: PTR","DOI":"10.1002/ptr.5256","ISSN":"1099-1573","issue":"3","journalAbbreviation":"Phytother Res","language":"eng","page":"323-331","PMID":"25394264","source":"PubMed","title":"Antioxidant and anti-inflammatory properties of the citrus flavonoids hesperidin and hesperetin: an updated review of their molecular mechanisms and experimental models","title-short":"Antioxidant and anti-inflammatory properties of the citrus flavonoids hesperidin and hesperetin","volume":"29","author":[{"family":"Parhiz","given":"Hamideh"},{"family":"Roohbakhsh","given":"Ali"},{"family":"Soltani","given":"Fatemeh"},{"family":"Rezaee","given":"Ramin"},{"family":"Iranshahi","given":"Mehrdad"}],"issued":{"date-parts":[["2015",3]]}}}],"schema":"https://github.com/citation-style-language/schema/raw/master/csl-citation.json"} </w:instrText>
            </w:r>
            <w:r w:rsidR="00D14C4A"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[14]</w:t>
            </w:r>
            <w:r w:rsidR="00D14C4A" w:rsidRPr="00082425">
              <w:rPr>
                <w:rFonts w:ascii="Times New Roman" w:eastAsia="宋体" w:hAnsi="Times New Roman" w:cs="Times New Roman"/>
              </w:rPr>
              <w:fldChar w:fldCharType="end"/>
            </w:r>
            <w:r w:rsidRPr="00082425">
              <w:rPr>
                <w:rFonts w:ascii="Times New Roman" w:eastAsia="宋体" w:hAnsi="Times New Roman" w:cs="Times New Roman"/>
              </w:rPr>
              <w:t>。这种抗炎机制在多种炎症模型中得到了验证，进一步支持了</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作为抗炎剂的潜力。</w:t>
            </w:r>
          </w:p>
          <w:p w14:paraId="41A9E274" w14:textId="5551D743" w:rsidR="00AB6AC6" w:rsidRPr="00082425" w:rsidRDefault="00AB6AC6" w:rsidP="00AB6AC6">
            <w:pPr>
              <w:spacing w:line="360" w:lineRule="auto"/>
              <w:rPr>
                <w:rFonts w:ascii="Times New Roman" w:eastAsia="宋体" w:hAnsi="Times New Roman" w:cs="Times New Roman"/>
              </w:rPr>
            </w:pPr>
            <w:r w:rsidRPr="00082425">
              <w:rPr>
                <w:rFonts w:ascii="Times New Roman" w:eastAsia="宋体" w:hAnsi="Times New Roman" w:cs="Times New Roman"/>
              </w:rPr>
              <w:t>在</w:t>
            </w:r>
            <w:r w:rsidR="00FE0C39" w:rsidRPr="00082425">
              <w:rPr>
                <w:rFonts w:ascii="Times New Roman" w:eastAsia="宋体" w:hAnsi="Times New Roman" w:cs="Times New Roman"/>
              </w:rPr>
              <w:t>抗肿瘤</w:t>
            </w:r>
            <w:r w:rsidRPr="00082425">
              <w:rPr>
                <w:rFonts w:ascii="Times New Roman" w:eastAsia="宋体" w:hAnsi="Times New Roman" w:cs="Times New Roman"/>
              </w:rPr>
              <w:t>方面，</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通过多种机制抑制癌细胞的增殖和诱导细胞凋亡。研究表明，</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能够通过调节细胞周期蛋白和凋亡相关蛋白的表达，诱导癌细胞的细胞周期停滞和凋亡</w:t>
            </w:r>
            <w:r w:rsidR="00D14C4A"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{"citationID":"xnPpMnCe","properties":{"formattedCitation":"\\super [15]\\nosupersub{}","plainCitation":"[15]","noteIndex":0},"citationItems":[{"id":6030,"uris":["http://zotero.org/users/8103267/items/RBBD9N66"],"itemData":{"id":6030,"type":"article-journal","abstract":"BACKGROUND: The ability of cancer cells to divide without restriction and to escape programmed cell death is a feature of the proliferative state. Citrus flavanones are flavonoids with potential multiple anticancer actions, from antioxidant and chemopreventive, to anti-inflammatory, anti-angiogenic, cytostatic and cytotoxic in different cancer models.\nPURPOSE: This review aims to summarize the current knowledge on the antiproliferative actions of the citrus flavanones hesperidin (HSD) and hesperetin (HST), with emphasis on cell cycle arrest and apoptosis.\nMETHODS: Cochrane Library, Scopus, Pubmed and Web of Science collection databases were queried for publications reporting antiproliferative effects of HSD and HST in cancer models.\nRESULTS: HSD and HST have been proven to delay cell proliferation in several cancer models. Depending on the compound, dose and cell line studied, different effects have been reported. Cell cycle arrest associated with cytostatic effects has been reported in cells with increased levels of p53 and also cyclin-dependent kinase inhibitors, as well as decreased levels of specific cyclins and cyclin-dependent kinases. Moreover, apoptotic effects have been found to be associated with altered ratios of pro-/antiapoptotic proteins, caspase activation, c-Jun N-terminal kinase (JNK) pathway activation and caspase-independent pathways.\nCONCLUSION: Available scientific literature data indicate complex effects, dependent on cell lines and exposure conditions, suggesting that HSD and HST doses need to be optimized according to the cellular and organismal context. The establishment of the main antiproliferative mechanisms is of utmost importance for a possible therapeutic benefit of citrus flavanones in the context of cancer.","container-title":"Phytomedicine: International Journal of Phytotherapy and Phytopharmacology","DOI":"10.1016/j.phymed.2019.152887","ISSN":"1618-095X","journalAbbreviation":"Phytomedicine","language":"eng","page":"152887","PMID":"30975541","source":"PubMed","title":"Therapeutic potential of hesperidin and its aglycone hesperetin: Cell cycle regulation and apoptosis induction in cancer models","title-short":"Therapeutic potential of hesperidin and its aglycone hesperetin","volume":"73","author":[{"family":"Ferreira de Oliveira","given":"José Miguel P."},{"family":"Santos","given":"Conceição"},{"family":"Fernandes","given":"Eduarda"}],"issued":{"date-parts":[["2020",7,15]]}}}],"schema":"https://github.com/citation-style-language/schema/raw/master/csl-citation.json"} </w:instrText>
            </w:r>
            <w:r w:rsidR="00D14C4A"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[15]</w:t>
            </w:r>
            <w:r w:rsidR="00D14C4A"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还通过激活</w:t>
            </w:r>
            <w:r w:rsidRPr="00082425">
              <w:rPr>
                <w:rFonts w:ascii="Times New Roman" w:eastAsia="宋体" w:hAnsi="Times New Roman" w:cs="Times New Roman"/>
              </w:rPr>
              <w:t>c-Jun</w:t>
            </w:r>
            <w:r w:rsidRPr="00082425">
              <w:rPr>
                <w:rFonts w:ascii="Times New Roman" w:eastAsia="宋体" w:hAnsi="Times New Roman" w:cs="Times New Roman"/>
              </w:rPr>
              <w:t>氨基末端激酶（</w:t>
            </w:r>
            <w:r w:rsidRPr="00082425">
              <w:rPr>
                <w:rFonts w:ascii="Times New Roman" w:eastAsia="宋体" w:hAnsi="Times New Roman" w:cs="Times New Roman"/>
              </w:rPr>
              <w:t>JNK</w:t>
            </w:r>
            <w:r w:rsidRPr="00082425">
              <w:rPr>
                <w:rFonts w:ascii="Times New Roman" w:eastAsia="宋体" w:hAnsi="Times New Roman" w:cs="Times New Roman"/>
              </w:rPr>
              <w:t>）通路，增强凋亡信号的传递，从而进一步促进癌细胞的凋亡</w:t>
            </w:r>
            <w:r w:rsidR="00D14C4A"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{"citationID":"dOCEqhC0","properties":{"formattedCitation":"\\super [15]\\nosupersub{}","plainCitation":"[15]","noteIndex":0},"citationItems":[{"id":6030,"uris":["http://zotero.org/users/8103267/items/RBBD9N66"],"itemData":{"id":6030,"type":"article-journal","abstract":"BACKGROUND: The ability of cancer cells to divide without restriction and to escape programmed cell death is a feature of the proliferative state. Citrus flavanones are flavonoids with potential multiple anticancer actions, from antioxidant and chemopreventive, to anti-inflammatory, anti-angiogenic, cytostatic and cytotoxic in different cancer models.\nPURPOSE: This review aims to summarize the current knowledge on the antiproliferative actions of the citrus flavanones hesperidin (HSD) and hesperetin (HST), with emphasis on cell cycle arrest and apoptosis.\nMETHODS: Cochrane Library, Scopus, Pubmed and Web of Science collection databases were queried for publications reporting antiproliferative effects of HSD and HST in cancer models.\nRESULTS: HSD and HST have been proven to delay cell proliferation in several cancer models. Depending on the compound, dose and cell line studied, different effects have been reported. Cell cycle arrest associated with cytostatic effects has been reported in cells with increased levels of p53 and also cyclin-dependent kinase inhibitors, as well as decreased levels of specific cyclins and cyclin-dependent kinases. Moreover, apoptotic effects have been found to be associated with altered ratios of pro-/antiapoptotic proteins, caspase activation, c-Jun N-terminal kinase (JNK) pathway activation and caspase-independent pathways.\nCONCLUSION: Available scientific literature data indicate complex effects, dependent on cell lines and exposure conditions, suggesting that HSD and HST doses need to be optimized according to the cellular and organismal context. The establishment of the main antiproliferative mechanisms is of utmost importance for a possible therapeutic benefit of citrus flavanones in the context of cancer.","container-title":"Phytomedicine: International Journal of Phytotherapy and Phytopharmacology","DOI":"10.1016/j.phymed.2019.152887","ISSN":"1618-095X","journalAbbreviation":"Phytomedicine","language":"eng","page":"152887","PMID":"30975541","source":"PubMed","title":"Therapeutic potential of hesperidin and its aglycone hesperetin: Cell cycle regulation and apoptosis induction in cancer models","title-short":"Therapeutic potential of hesperidin and its aglycone hesperetin","volume":"73","author":[{"family":"Ferreira de Oliveira","given":"José Miguel P."},{"family":"Santos","given":"Conceição"},{"family":"Fernandes","given":"Eduarda"}],"issued":{"date-parts":[["2020",7,15]]}}}],"schema":"https://github.com/citation-style-language/schema/raw/master/csl-citation.json"} </w:instrText>
            </w:r>
            <w:r w:rsidR="00D14C4A"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[15]</w:t>
            </w:r>
            <w:r w:rsidR="00D14C4A"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2D6150F6" w14:textId="37F0436C" w:rsidR="00AB6AC6" w:rsidRPr="00082425" w:rsidRDefault="00D14C4A" w:rsidP="00AB6AC6">
            <w:pPr>
              <w:spacing w:line="360" w:lineRule="auto"/>
              <w:rPr>
                <w:rFonts w:ascii="Times New Roman" w:eastAsia="宋体" w:hAnsi="Times New Roman" w:cs="Times New Roman"/>
              </w:rPr>
            </w:pPr>
            <w:r w:rsidRPr="00082425">
              <w:rPr>
                <w:rFonts w:ascii="Times New Roman" w:eastAsia="宋体" w:hAnsi="Times New Roman" w:cs="Times New Roman"/>
                <w:color w:val="000000"/>
                <w:szCs w:val="22"/>
              </w:rPr>
              <w:t>橙皮</w:t>
            </w:r>
            <w:proofErr w:type="gramStart"/>
            <w:r w:rsidRPr="00082425">
              <w:rPr>
                <w:rFonts w:ascii="Times New Roman" w:eastAsia="宋体" w:hAnsi="Times New Roman" w:cs="Times New Roman"/>
                <w:color w:val="000000"/>
                <w:szCs w:val="22"/>
              </w:rPr>
              <w:t>苷</w:t>
            </w:r>
            <w:proofErr w:type="gramEnd"/>
            <w:r w:rsidR="00AB6AC6" w:rsidRPr="00082425">
              <w:rPr>
                <w:rFonts w:ascii="Times New Roman" w:eastAsia="宋体" w:hAnsi="Times New Roman" w:cs="Times New Roman"/>
              </w:rPr>
              <w:t>的生物利用度是其临床应用的一个重要限制因素。为了提高其生物利用度，研究者们开发了多种新型制剂，如纳米颗粒、脂质体和环糊精包合物等。这些新型制剂显著提高了</w:t>
            </w:r>
            <w:r w:rsidRPr="00082425">
              <w:rPr>
                <w:rFonts w:ascii="Times New Roman" w:eastAsia="宋体" w:hAnsi="Times New Roman" w:cs="Times New Roman"/>
                <w:color w:val="000000"/>
                <w:szCs w:val="22"/>
              </w:rPr>
              <w:t>橙皮</w:t>
            </w:r>
            <w:proofErr w:type="gramStart"/>
            <w:r w:rsidRPr="00082425">
              <w:rPr>
                <w:rFonts w:ascii="Times New Roman" w:eastAsia="宋体" w:hAnsi="Times New Roman" w:cs="Times New Roman"/>
                <w:color w:val="000000"/>
                <w:szCs w:val="22"/>
              </w:rPr>
              <w:t>苷</w:t>
            </w:r>
            <w:proofErr w:type="gramEnd"/>
            <w:r w:rsidR="00AB6AC6" w:rsidRPr="00082425">
              <w:rPr>
                <w:rFonts w:ascii="Times New Roman" w:eastAsia="宋体" w:hAnsi="Times New Roman" w:cs="Times New Roman"/>
              </w:rPr>
              <w:t>的溶解度和稳定</w:t>
            </w:r>
            <w:r w:rsidR="00AB6AC6" w:rsidRPr="00082425">
              <w:rPr>
                <w:rFonts w:ascii="Times New Roman" w:eastAsia="宋体" w:hAnsi="Times New Roman" w:cs="Times New Roman"/>
              </w:rPr>
              <w:lastRenderedPageBreak/>
              <w:t>性，从而增强了其生物活性</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{"citationID":"Sg6CAVrA","properties":{"formattedCitation":"\\super [16]\\nosupersub{}","plainCitation":"[16]","noteIndex":0},"citationItems":[{"id":6032,"uris":["http://zotero.org/users/8103267/items/QLQU3GTC"],"itemData":{"id":6032,"type":"article-journal","abstract":"Hesperetin is a flavonoid compound naturally occurring in the peel of Citrus fruits from the Rutaceae family. Previous studies have demonstrated that hesperetin exhibits various pharmacological effects, such as anti-inflammatory, anti-tumor, antioxidative, anti-aging, and neuroprotective properties. In recent years, with the increasing prevalence of diseases and the rising awareness of traditional Chinese medicine, hesperetin has garnered growing attention for its wide-ranging pharmacological effects. To substantiate its health benefits and elucidate potential mechanisms, knowledge of pharmacokinetics is crucial. However, the limited solubility of hesperetin restricts its bioavailability, thereby diminishing its efficacy as a beneficial health agent. To enhance the bioavailability of hesperetin, various novel formulations have been developed, including nanoparticles, liposomes, and cyclodextrin inclusion complexes. This article reviews recent advances in the pharmacokinetics of hesperetin and methods to improve its bioavailability, as well as its pharmacological effects and mechanisms, aiming to provide a theoretical basis for clinical applications.","container-title":"Fitoterapia","DOI":"10.1016/j.fitote.2024.106206","ISSN":"1873-6971","journalAbbreviation":"Fitoterapia","language":"eng","page":"106206","PMID":"39255908","source":"PubMed","title":"Comprehensive review of Hesperetin: Advancements in pharmacokinetics, pharmacological effects, and novel formulations","title-short":"Comprehensive review of Hesperetin","volume":"179","author":[{"family":"Song","given":"Bocui"},{"family":"Hao","given":"Meihan"},{"family":"Zhang","given":"Shuang"},{"family":"Niu","given":"Wenqi"},{"family":"Li","given":"Yuqi"},{"family":"Chen","given":"Qian"},{"family":"Li","given":"Shuang"},{"family":"Tong","given":"Chunyu"}],"issued":{"date-parts":[["2024",12]]}}}],"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[16]</w:t>
            </w:r>
            <w:r w:rsidRPr="00082425">
              <w:rPr>
                <w:rFonts w:ascii="Times New Roman" w:eastAsia="宋体" w:hAnsi="Times New Roman" w:cs="Times New Roman"/>
              </w:rPr>
              <w:fldChar w:fldCharType="end"/>
            </w:r>
            <w:r w:rsidR="00AB6AC6" w:rsidRPr="00082425">
              <w:rPr>
                <w:rFonts w:ascii="Times New Roman" w:eastAsia="宋体" w:hAnsi="Times New Roman" w:cs="Times New Roman"/>
              </w:rPr>
              <w:t>。此外，</w:t>
            </w:r>
            <w:r w:rsidRPr="00082425">
              <w:rPr>
                <w:rFonts w:ascii="Times New Roman" w:eastAsia="宋体" w:hAnsi="Times New Roman" w:cs="Times New Roman"/>
                <w:color w:val="000000"/>
                <w:szCs w:val="22"/>
              </w:rPr>
              <w:t>橙皮</w:t>
            </w:r>
            <w:proofErr w:type="gramStart"/>
            <w:r w:rsidRPr="00082425">
              <w:rPr>
                <w:rFonts w:ascii="Times New Roman" w:eastAsia="宋体" w:hAnsi="Times New Roman" w:cs="Times New Roman"/>
                <w:color w:val="000000"/>
                <w:szCs w:val="22"/>
              </w:rPr>
              <w:t>苷</w:t>
            </w:r>
            <w:proofErr w:type="gramEnd"/>
            <w:r w:rsidR="00AB6AC6" w:rsidRPr="00082425">
              <w:rPr>
                <w:rFonts w:ascii="Times New Roman" w:eastAsia="宋体" w:hAnsi="Times New Roman" w:cs="Times New Roman"/>
              </w:rPr>
              <w:t>的代谢产物，如葡萄糖苷和硫酸盐形式，也被发现具有显著的生物活性，进一步支持了其在心血管疾病和癌症等领域的应用潜力</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{"citationID":"teAOWhi4","properties":{"formattedCitation":"\\super [17,18]\\nosupersub{}","plainCitation":"[17,18]","noteIndex":0},"citationItems":[{"id":6034,"uris":["http://zotero.org/users/8103267/items/NL77ZPHV"],"itemData":{"id":6034,"type":"article-journal","abstract":"Epidemiological, clinical and preclinical studies have reported the protection offered by citrus consumption, mainly orange, against cardiovascular diseases, which is primarily mediated by the antiatherogenic and vasculoprotective effects of the flavanone hesperetin-7-O-rutinoside (hesperidin). However, flavanone aglycones or glycosides are not present in the bloodstream but their derived phase-II metabolites could be the actual bioactive molecules. To date, only a few studies have explored the effects of circulating hesperetin-derived metabolites (glucuronides and sulfates) on endothelial cells. Herein, we describe for the first time the effects of hesperetin 3'-O-glucuronide, hesperetin 7-O-glucuronide, hesperetin 3'-O-sulfate, hesperetin 7-O-sulfate and hesperetin on human aortic endothelial cell (HAEC) migration upon pro-inflammatory stimuli as an essential step to angiogenesis. Hesperetin and its derived metabolites, at physiologically relevant concentrations (1-10 μM), significantly attenuated cell migration in the presence of the pro-inflammatory cytokine TNF-α (50 ng mL(-1)), which was accompanied and perhaps mediated by a significant decrease in the levels of the thrombogenic plasminogen activator inhibitor-1 (PAI-1). However, hesperetin metabolites did not counteract the TNF-α-induced production of pro-inflammatory interleukin-6 (IL-6) and IL-8. We also study here for the first time, the metabolism of hesperetin and its derived metabolites by HAEC with and without a pro-inflammatory stimulus. All these results reinforce the concept according to which circulating phase-II hesperetin metabolites are critical molecules contributing to the cardioprotective effects upon consumption of citrus fruits such as orange.","container-title":"Food &amp; Function","DOI":"10.1039/c5fo00771b","ISSN":"2042-650X","issue":"1","journalAbbreviation":"Food Funct","language":"eng","page":"118-126","PMID":"26456097","source":"PubMed","title":"Hesperetin and its sulfate and glucuronide metabolites inhibit TNF-α induced human aortic endothelial cell migration and decrease plasminogen activator inhibitor-1 (PAI-1) levels","volume":"7","author":[{"family":"Giménez-Bastida","given":"Juan Antonio"},{"family":"González-Sarrías","given":"Antonio"},{"family":"Vallejo","given":"Fernando"},{"family":"Espín","given":"Juan Carlos"},{"family":"Tomás-Barberán","given":"Francisco A."}],"issued":{"date-parts":[["2016",1]]}}},{"id":6036,"uris":["http://zotero.org/users/8103267/items/LK9CBJVZ"],"itemData":{"id":6036,"type":"article-journal","abstract":"In recent years much attention has been focused on the pharmaceutical relevance of bioflavonoids, especially hesperidin and its aglycon hesperetin in terms of their antioxidant and anti-inflammatory actions. However, the bioactivity of their metabolites, the real molecules in vivo hesperetin glucuronides/sulfates produced after ingestion, has been poorly understood. Thus, the study using an ex vivo approach is aimed to compare the antioxidant and anti-inflammatory activities of hesperidin/hesperetin or hesperetin metabolites derived from hesperetin-administered rat serum. We found that hesperetin metabolites (2.5-20 μM) showed higher antioxidant activity against various oxidative systems, including superoxide anion scavenging, reducing power, and metal chelating effects, than that of hesperidin or hesperetin. The data also showed that pretreatment of hesperetin metabolites (1-10 μM) within the range of physiological concentrations, compared to hesperetin, significantly inhibited nitric oxide (NO) and prostaglandin E(2) (PGE(2)) production, as evidenced by the inhibition of their precursors, inducible nitric oxide synthase (iNOS) and cyclooxygenase-2 (COX-2) protein levels without appreciable cytotoxicity on LPS-activated RAW264.7 macrophages or A7r5 smooth muscle cells. Concomitantly, hesperetin metabolites dose-dependently inhibited LPS-induced intracellular reactive oxygen species (ROS). Furthermore, hesperetin metabolites significantly downregulate LPS-induced nuclear factor-κB (NF-κB) activation followed by the suppression of inhibitor-κB (I-κB) degradation and phosphorylation of c-Jun N-terminal kinase1/2 (JNK1/2) and p38 MAPKs after challenge with LPS. Hesperetin metabolites ex vivo showed potent antioxidant and anti-inflammatory activity in comparison with hesperidin/hesperetin.","container-title":"Journal of Agricultural and Food Chemistry","DOI":"10.1021/jf2040675","ISSN":"1520-5118","issue":"1","journalAbbreviation":"J Agric Food Chem","language":"eng","page":"522-532","PMID":"22098419","source":"PubMed","title":"Antioxidant and anti-inflammatory potential of hesperetin metabolites obtained from hesperetin-administered rat serum: an ex vivo approach","title-short":"Antioxidant and anti-inflammatory potential of hesperetin metabolites obtained from hesperetin-administered rat serum","volume":"60","author":[{"family":"Yang","given":"Hsin-Ling"},{"family":"Chen","given":"Ssu-Ching"},{"family":"Senthil Kumar","given":"K. J."},{"family":"Yu","given":"Kang-Ni"},{"family":"Lee Chao","given":"Pei-Dawn"},{"family":"Tsai","given":"Shang-Yuan"},{"family":"Hou","given":"Yu-Chi"},{"family":"Hseu","given":"You-Cheng"}],"issued":{"date-parts":[["2012",1,11]]}}}],"schema":"https://github.com/citation-style-language/schema/raw/master/csl-citation.json"}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[17,18]</w:t>
            </w:r>
            <w:r w:rsidRPr="00082425">
              <w:rPr>
                <w:rFonts w:ascii="Times New Roman" w:eastAsia="宋体" w:hAnsi="Times New Roman" w:cs="Times New Roman"/>
              </w:rPr>
              <w:fldChar w:fldCharType="end"/>
            </w:r>
            <w:r w:rsidR="00AB6AC6" w:rsidRPr="00082425">
              <w:rPr>
                <w:rFonts w:ascii="Times New Roman" w:eastAsia="宋体" w:hAnsi="Times New Roman" w:cs="Times New Roman"/>
              </w:rPr>
              <w:t>。</w:t>
            </w:r>
          </w:p>
          <w:p w14:paraId="22CB3B18" w14:textId="3171FC9F" w:rsidR="00AB6AC6" w:rsidRPr="00082425" w:rsidRDefault="00AB6AC6" w:rsidP="00A872CD">
            <w:pPr>
              <w:spacing w:line="360" w:lineRule="auto"/>
              <w:rPr>
                <w:rFonts w:ascii="Times New Roman" w:eastAsia="宋体" w:hAnsi="Times New Roman" w:cs="Times New Roman"/>
              </w:rPr>
            </w:pPr>
            <w:r w:rsidRPr="00082425">
              <w:rPr>
                <w:rFonts w:ascii="Times New Roman" w:eastAsia="宋体" w:hAnsi="Times New Roman" w:cs="Times New Roman"/>
              </w:rPr>
              <w:t>综上所述，</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作为一种具有多种生物活性的天然化合物，在抗氧化、抗炎和</w:t>
            </w:r>
            <w:r w:rsidR="00FE0C39" w:rsidRPr="00082425">
              <w:rPr>
                <w:rFonts w:ascii="Times New Roman" w:eastAsia="宋体" w:hAnsi="Times New Roman" w:cs="Times New Roman"/>
              </w:rPr>
              <w:t>抗肿瘤</w:t>
            </w:r>
            <w:r w:rsidRPr="00082425">
              <w:rPr>
                <w:rFonts w:ascii="Times New Roman" w:eastAsia="宋体" w:hAnsi="Times New Roman" w:cs="Times New Roman"/>
              </w:rPr>
              <w:t>等方面表现出显著的效果。通过新型制剂的开发和代谢产物的研究，</w:t>
            </w:r>
            <w:r w:rsidR="00D14C4A" w:rsidRPr="00082425">
              <w:rPr>
                <w:rFonts w:ascii="Times New Roman" w:eastAsia="宋体" w:hAnsi="Times New Roman" w:cs="Times New Roman"/>
                <w:color w:val="000000"/>
                <w:szCs w:val="22"/>
              </w:rPr>
              <w:t>橙皮</w:t>
            </w:r>
            <w:proofErr w:type="gramStart"/>
            <w:r w:rsidR="00D14C4A" w:rsidRPr="00082425">
              <w:rPr>
                <w:rFonts w:ascii="Times New Roman" w:eastAsia="宋体" w:hAnsi="Times New Roman" w:cs="Times New Roman"/>
                <w:color w:val="000000"/>
                <w:szCs w:val="22"/>
              </w:rPr>
              <w:t>苷</w:t>
            </w:r>
            <w:proofErr w:type="gramEnd"/>
            <w:r w:rsidRPr="00082425">
              <w:rPr>
                <w:rFonts w:ascii="Times New Roman" w:eastAsia="宋体" w:hAnsi="Times New Roman" w:cs="Times New Roman"/>
              </w:rPr>
              <w:t>的临床应用前景更加广阔。然而，未来仍需进一步的临床试验来验证其安全性和有效性，以便更好地指导其在疾病预防和治疗中的应用。</w:t>
            </w:r>
          </w:p>
          <w:p w14:paraId="070007B3" w14:textId="6EFA8A36" w:rsidR="002B6218" w:rsidRPr="00082425" w:rsidRDefault="002B6218" w:rsidP="00A872CD">
            <w:pPr>
              <w:spacing w:line="360" w:lineRule="auto"/>
              <w:rPr>
                <w:rFonts w:ascii="Times New Roman" w:eastAsia="宋体" w:hAnsi="Times New Roman" w:cs="Times New Roman"/>
              </w:rPr>
            </w:pPr>
          </w:p>
        </w:tc>
      </w:tr>
      <w:tr w:rsidR="004E7B66" w:rsidRPr="00082425" w14:paraId="22FB822E" w14:textId="77777777" w:rsidTr="00EF2D00">
        <w:tc>
          <w:tcPr>
            <w:tcW w:w="829" w:type="dxa"/>
          </w:tcPr>
          <w:p w14:paraId="63CC4E7C" w14:textId="5C20235A"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rPr>
              <w:lastRenderedPageBreak/>
              <w:t>7</w:t>
            </w:r>
          </w:p>
        </w:tc>
        <w:tc>
          <w:tcPr>
            <w:tcW w:w="3355" w:type="dxa"/>
          </w:tcPr>
          <w:p w14:paraId="57F90BF6" w14:textId="77777777" w:rsidR="004E7B66" w:rsidRPr="00082425" w:rsidRDefault="004E7B66" w:rsidP="004E7B66">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漆黃素</w:t>
            </w:r>
          </w:p>
          <w:p w14:paraId="2FEBDAC4" w14:textId="084CB529" w:rsidR="004E7B66" w:rsidRPr="00082425" w:rsidRDefault="004E7B66" w:rsidP="004E7B66">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rPr>
              <w:t>Fisetin</w:t>
            </w:r>
          </w:p>
        </w:tc>
        <w:tc>
          <w:tcPr>
            <w:tcW w:w="10133" w:type="dxa"/>
          </w:tcPr>
          <w:p w14:paraId="01CEA2BE" w14:textId="7777777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其生物活性包括骨骼健康、抗炎、抗肿瘤等多种作用。</w:t>
            </w:r>
          </w:p>
          <w:p w14:paraId="6F45F304" w14:textId="4794B81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首先，漆黃素在骨骼健康方面的作用尤为突出。研究表明，漆黃素通过促进糖原合酶激酶</w:t>
            </w:r>
            <w:r w:rsidRPr="00082425">
              <w:rPr>
                <w:rFonts w:ascii="Times New Roman" w:eastAsia="宋体" w:hAnsi="Times New Roman" w:cs="Times New Roman"/>
              </w:rPr>
              <w:t>-3</w:t>
            </w:r>
            <w:r w:rsidRPr="00082425">
              <w:rPr>
                <w:rFonts w:ascii="Times New Roman" w:eastAsia="宋体" w:hAnsi="Times New Roman" w:cs="Times New Roman"/>
                <w:i/>
                <w:iCs/>
              </w:rPr>
              <w:t>β</w:t>
            </w:r>
            <w:r w:rsidRPr="00082425">
              <w:rPr>
                <w:rFonts w:ascii="Times New Roman" w:eastAsia="宋体" w:hAnsi="Times New Roman" w:cs="Times New Roman"/>
              </w:rPr>
              <w:t>（</w:t>
            </w:r>
            <w:r w:rsidRPr="00082425">
              <w:rPr>
                <w:rFonts w:ascii="Times New Roman" w:eastAsia="宋体" w:hAnsi="Times New Roman" w:cs="Times New Roman"/>
              </w:rPr>
              <w:t>GSK-3</w:t>
            </w:r>
            <w:r w:rsidRPr="00082425">
              <w:rPr>
                <w:rFonts w:ascii="Times New Roman" w:eastAsia="宋体" w:hAnsi="Times New Roman" w:cs="Times New Roman"/>
                <w:i/>
                <w:iCs/>
              </w:rPr>
              <w:t>β</w:t>
            </w:r>
            <w:r w:rsidRPr="00082425">
              <w:rPr>
                <w:rFonts w:ascii="Times New Roman" w:eastAsia="宋体" w:hAnsi="Times New Roman" w:cs="Times New Roman"/>
              </w:rPr>
              <w:t>）在</w:t>
            </w:r>
            <w:r w:rsidRPr="00082425">
              <w:rPr>
                <w:rFonts w:ascii="Times New Roman" w:eastAsia="宋体" w:hAnsi="Times New Roman" w:cs="Times New Roman"/>
              </w:rPr>
              <w:t>Ser9</w:t>
            </w:r>
            <w:r w:rsidRPr="00082425">
              <w:rPr>
                <w:rFonts w:ascii="Times New Roman" w:eastAsia="宋体" w:hAnsi="Times New Roman" w:cs="Times New Roman"/>
              </w:rPr>
              <w:t>位点的磷酸化，激活</w:t>
            </w:r>
            <w:r w:rsidRPr="00082425">
              <w:rPr>
                <w:rFonts w:ascii="Times New Roman" w:eastAsia="宋体" w:hAnsi="Times New Roman" w:cs="Times New Roman"/>
              </w:rPr>
              <w:t>β-</w:t>
            </w:r>
            <w:r w:rsidRPr="00082425">
              <w:rPr>
                <w:rFonts w:ascii="Times New Roman" w:eastAsia="宋体" w:hAnsi="Times New Roman" w:cs="Times New Roman"/>
              </w:rPr>
              <w:t>连环蛋白（</w:t>
            </w:r>
            <w:r w:rsidRPr="00082425">
              <w:rPr>
                <w:rFonts w:ascii="Times New Roman" w:eastAsia="宋体" w:hAnsi="Times New Roman" w:cs="Times New Roman"/>
              </w:rPr>
              <w:t>β-catenin</w:t>
            </w:r>
            <w:r w:rsidRPr="00082425">
              <w:rPr>
                <w:rFonts w:ascii="Times New Roman" w:eastAsia="宋体" w:hAnsi="Times New Roman" w:cs="Times New Roman"/>
              </w:rPr>
              <w:t>），从而促进成骨细胞的分化和成骨作用，抑制骨质疏松症的发生</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{"citationID":"Q9Zo6tgh","properties":{"formattedCitation":"\\super [19]\\nosupersub{}","plainCitation":"[19]","noteIndex":0},"citationItems":[{"id":5961,"uris":["http://zotero.org/users/8103267/items/MLPPYWK9"],"itemData":{"id":5961,"type":"article-journal","abstract":"Fisetin is a bioactive flavonol that inhibits osteoclastogenesis and promotes osteoblastogenesis. However, the osteogenic activity of fisetin needs to be comprehensively elucidated. In the present study, we observed that fisetin significantly increased alkaline phosphatase (ALP) activity and bone mineralization in MC3T3-E1 preosteoblasts, accompanied by a significant increase in runt-related transcription factor 2 (RUNX2), ALP, collagen type Ⅰ alpha 1 (Col1α1), osterix (OSX), osteocalcin (OCN), and bone morphogenetic protein 4 (BMP4) expression. Furthermore, fisetin promoted vertebral formation in zebrafish larvae, with the highest fisetin concentration comparable with that observed in β-glycerophosphate treatment. Fisetin also inhibited prednisolone (PDS)-induced anti-osteoblastic genes, including nuclear factor of activated T-cells cytoplasmic 1 (NFATc1), tartrate-resistant acid phosphatase-6 (ACP6), dendritic cell-specific transmembrane protein (DC-STAMP), and cathepsin K (CTSK). Fisetin potently mitigated the PDS-induced inhibition of ALP activity and bone mineralization, as well as vertebral resorption in zebrafish larvae. Moreover, we confirmed that fisetin-induced osteogenic effect was activated through phosphorylation of glycogen synthase kinase-3β (GSK-3β) at Ser9, consequently releasing β-catenin from the destructive complex to promote its nuclear translocation. β-Catenin inhibition by FH535 and the stabilization of GSK-3β by DOI hydrochloride remarkably inhibited fisetin-induced osteogenic activities, indicating that the GSK-3β/β-catenin signaling pathway plays a vital role in fisetin-induced osteogenesis. Collectively, our findings suggest that fisetin stimulates osteogenic activity and could be used as an effective strategy to prevent bone resorption.","container-title":"Biochemical Pharmacology","DOI":"10.1016/j.bcp.2021.114676","ISSN":"1873-2968","journalAbbreviation":"Biochem Pharmacol","language":"eng","page":"114676","PMID":"34256044","source":"PubMed","title":"Fisetin promotes osteoblast differentiation and osteogenesis through GSK-3β phosphorylation at Ser9 and consequent β-catenin activation, inhibiting osteoporosis","volume":"192","author":[{"family":"Molagoda","given":"Ilandarage Menu Neelaka"},{"family":"Kang","given":"Chang-Hee"},{"family":"Lee","given":"Mi-Hwa"},{"family":"Choi","given":"Yung Hyun"},{"family":"Lee","given":"Chang-Min"},{"family":"Lee","given":"Seungheon"},{"family":"Kim","given":"Gi-Young"}],"issued":{"date-parts":[["2021",10]]}}}],"schema":"https://github.com/citation-style-language/schema/raw/master/csl-citation.json"}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[19]</w:t>
            </w:r>
            <w:r w:rsidRPr="00082425">
              <w:rPr>
                <w:rFonts w:ascii="Times New Roman" w:eastAsia="宋体" w:hAnsi="Times New Roman" w:cs="Times New Roman"/>
              </w:rPr>
              <w:fldChar w:fldCharType="end"/>
            </w:r>
            <w:r w:rsidRPr="00082425">
              <w:rPr>
                <w:rFonts w:ascii="Times New Roman" w:eastAsia="宋体" w:hAnsi="Times New Roman" w:cs="Times New Roman"/>
              </w:rPr>
              <w:t>。此外，漆黃素还通过上调</w:t>
            </w:r>
            <w:r w:rsidRPr="00082425">
              <w:rPr>
                <w:rFonts w:ascii="Times New Roman" w:eastAsia="宋体" w:hAnsi="Times New Roman" w:cs="Times New Roman"/>
              </w:rPr>
              <w:t>Runx2</w:t>
            </w:r>
            <w:r w:rsidRPr="00082425">
              <w:rPr>
                <w:rFonts w:ascii="Times New Roman" w:eastAsia="宋体" w:hAnsi="Times New Roman" w:cs="Times New Roman"/>
              </w:rPr>
              <w:t>转录活性，促进成骨细胞的分化和矿化过程</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{"citationID":"u2MFWFeh","properties":{"formattedCitation":"\\super [20]\\nosupersub{}","plainCitation":"[20]","noteIndex":0},"citationItems":[{"id":5963,"uris":["http://zotero.org/users/8103267/items/BYJ6YSFI"],"itemData":{"id":5963,"type":"article-journal","abstract":"SCOPE: Flavonoids represent a group of polyphenolic compounds commonly found in daily nutrition with proven health benefits. Among this group, the flavonol fisetin has been previously shown to protect bone by repressing osteoclast differentiation. In the present study, we investigated the role of fisetin in regulating osteoblasts physiology.\nMETHODS AND RESULTS: In vivo mice treated with LPSs exhibited osteoporosis features associated with a dramatic repression of osteoblast marker expression. In this model, inhibition of osteocalcin and type I collagen alpha 1 transcription was partially countered by a daily consumption of fisetin. Interestingly, in vitro, fisetin promoted both osteoblast alkaline phosphatase activity and mineralization process. To decipher how fisetin may exert its positive effect on osteoblastogenesis, we analyzed its ability to control the runt-related transcription factor 2 (Runx2), a key organizer in developing and maturing osteoblasts. While fisetin did not impact Runx2 mRNA and protein levels, it upregulated its transcriptional activity. Actually, fisetin stimulated the luciferase activity of a reporter plasmid driven by the osteocalcin gene promoter that contains Runx2 binding sites and promoted the mRNA expression of osteocalcin and type I collagen alpha 1 targets.\nCONCLUSION: Bone sparing properties of fisetin also rely on its positive influence on osteoblast differentiation and activity.","container-title":"Molecular Nutrition &amp; Food Research","DOI":"10.1002/mnfr.201300836","ISSN":"1613-4133","issue":"6","journalAbbreviation":"Mol Nutr Food Res","language":"eng","page":"1239-1248","PMID":"24535991","source":"PubMed","title":"The flavonoid fisetin promotes osteoblasts differentiation through Runx2 transcriptional activity","volume":"58","author":[{"family":"Léotoing","given":"Laurent"},{"family":"Davicco","given":"Marie-Jeanne"},{"family":"Lebecque","given":"Patrice"},{"family":"Wittrant","given":"Yohann"},{"family":"Coxam","given":"Véronique"}],"issued":{"date-parts":[["2014",6]]}}}],"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[20]</w:t>
            </w:r>
            <w:r w:rsidRPr="00082425">
              <w:rPr>
                <w:rFonts w:ascii="Times New Roman" w:eastAsia="宋体" w:hAnsi="Times New Roman" w:cs="Times New Roman"/>
              </w:rPr>
              <w:fldChar w:fldCharType="end"/>
            </w:r>
            <w:r w:rsidRPr="00082425">
              <w:rPr>
                <w:rFonts w:ascii="Times New Roman" w:eastAsia="宋体" w:hAnsi="Times New Roman" w:cs="Times New Roman"/>
              </w:rPr>
              <w:t>。这些研究表明，漆黃素在骨骼健康维护中具有重要的潜在应用价值。</w:t>
            </w:r>
          </w:p>
          <w:p w14:paraId="6988CFCC" w14:textId="1626550D"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在抗炎方面，漆黃素通过多种信号通路发挥作用。研究显示，漆黃素能够通过抑制</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和</w:t>
            </w:r>
            <w:r w:rsidRPr="00082425">
              <w:rPr>
                <w:rFonts w:ascii="Times New Roman" w:eastAsia="宋体" w:hAnsi="Times New Roman" w:cs="Times New Roman"/>
              </w:rPr>
              <w:t>ERK1/2</w:t>
            </w:r>
            <w:r w:rsidRPr="00082425">
              <w:rPr>
                <w:rFonts w:ascii="Times New Roman" w:eastAsia="宋体" w:hAnsi="Times New Roman" w:cs="Times New Roman"/>
              </w:rPr>
              <w:t>信号通路，显著降低炎症介质的生成</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{"citationID":"57yKYbc9","properties":{"formattedCitation":"\\super [21]\\nosupersub{}","plainCitation":"[21]","noteIndex":0},"citationItems":[{"id":5965,"uris":["http://zotero.org/users/8103267/items/K9KLMIMB"],"itemData":{"id":5965,"type":"article-journal","abstract":"Fisetin, a flavone that can be isolated from fruits and vegetables, has anti-tumor and anti-oxidative properties and ameliorates airway hyperresponsiveness in asthmatic mice. This study investigated whether fisetin can suppress the expression of inflammatory mediators and intercellular adhesion molecule 1 (ICAM-1) in A549 human lung epithelial cells that were stimulated with interleukin-1β (IL-1β) to induce inflammatory responses. A549 cells were treated with fisetin (3-30 μM) and then with IL-1β. Fisetin significantly inhibited COX-2 expression and reduced prostaglandin E2 production, and it suppressed the levels of IL-8, CCL5, monocyte chemotactic protein 1, tumor necrosis factor α, and IL-6. Fisetin also significantly attenuated the expression of chemokine and inflammatory cytokine genes and decreased the expression of ICAM-1, which mediates THP-1 monocyte adhesion to inflammatory A549 cells. Fisetin decreased the translocation of nuclear transcription factor kappa-B (NF-κB) subunit p65 into the nucleus and inhibited the phosphorylation of proteins in the ERK1/2 pathway. Co-treatment of IL-1β-stimulated A549 cells with ERK1/2 inhibitors plus fisetin reduced ICAM-1 expression. Furthermore, fisetin significantly increased the effects of the protective antioxidant pathway by promoting the expression of nuclear factor erythroid-2-related factor-2 and heme oxygenase 1. Taken together, these data suggest that fisetin has anti-inflammatory effects and that it suppresses the expression of chemokines, inflammatory cytokines, and ICAM-1 by suppressing the NF-κB and ERK1/2 signaling pathways in IL-1β-stimulated human lung epithelial A549 cells.","container-title":"International Immunopharmacology","DOI":"10.1016/j.intimp.2018.05.004","ISSN":"1878-1705","journalAbbreviation":"Int Immunopharmacol","language":"eng","page":"202-210","PMID":"29758489","source":"PubMed","title":"Fisetin inhibits the generation of inflammatory mediators in interleukin-1β-induced human lung epithelial cells by suppressing the NF-κB and ERK1/2 pathways","volume":"60","author":[{"family":"Peng","given":"Hui-Ling"},{"family":"Huang","given":"Wen-Chung"},{"family":"Cheng","given":"Shu-Chen"},{"family":"Liou","given":"Chian-Jiun"}],"issued":{"date-parts":[["2018",7]]}}}],"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[21]</w:t>
            </w:r>
            <w:r w:rsidRPr="00082425">
              <w:rPr>
                <w:rFonts w:ascii="Times New Roman" w:eastAsia="宋体" w:hAnsi="Times New Roman" w:cs="Times New Roman"/>
              </w:rPr>
              <w:fldChar w:fldCharType="end"/>
            </w:r>
            <w:r w:rsidRPr="00082425">
              <w:rPr>
                <w:rFonts w:ascii="Times New Roman" w:eastAsia="宋体" w:hAnsi="Times New Roman" w:cs="Times New Roman"/>
              </w:rPr>
              <w:t>。此外，漆黃素还通过抑制</w:t>
            </w:r>
            <w:r w:rsidRPr="00082425">
              <w:rPr>
                <w:rFonts w:ascii="Times New Roman" w:eastAsia="宋体" w:hAnsi="Times New Roman" w:cs="Times New Roman"/>
              </w:rPr>
              <w:t>PI3K/AKT/mTOR</w:t>
            </w:r>
            <w:r w:rsidRPr="00082425">
              <w:rPr>
                <w:rFonts w:ascii="Times New Roman" w:eastAsia="宋体" w:hAnsi="Times New Roman" w:cs="Times New Roman"/>
              </w:rPr>
              <w:t>信号通路，减少炎症细胞因子的表达和分泌，并促进自噬体</w:t>
            </w:r>
            <w:r w:rsidRPr="00082425">
              <w:rPr>
                <w:rFonts w:ascii="Times New Roman" w:eastAsia="宋体" w:hAnsi="Times New Roman" w:cs="Times New Roman"/>
              </w:rPr>
              <w:t>-</w:t>
            </w:r>
            <w:r w:rsidRPr="00082425">
              <w:rPr>
                <w:rFonts w:ascii="Times New Roman" w:eastAsia="宋体" w:hAnsi="Times New Roman" w:cs="Times New Roman"/>
              </w:rPr>
              <w:t>溶酶体的融合和降解</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{"citationID":"a6EwAaN5","properties":{"formattedCitation":"\\super [22]\\nosupersub{}","plainCitation":"[22]","noteIndex":0},"citationItems":[{"id":5967,"uris":["http://zotero.org/users/8103267/items/CUSGUDDH","http://zotero.org/users/8103267/items/TRGE58T5"],"itemData":{"id":5967,"type":"article-journal","abstract":"BACKGROUND: Fisetin, a natural potent flavonoid, has various beneficial, pharmacological activities. In this study, we investigated expression changes of the fisetin regulating genes in lipopolysaccharide (LPS)-treated RAW264.7 cells and explored the role of fisetin in inflammation and autophagy.\nMETHODS AND RESULTS: Microarray analysis identified 1,071 genes that were regulated by fisetin in LPS-treated RAW264.7 cells, and these genes were mainly related to the process of immune system response. Quantitative real-time polymerase chain reaction and Bio-Plex analysis indicated that fisetin decreased the expression and secretion of several inflammatory cytokines in cells administered with LPS. Western blot analysis and immunofluorescence assay showed that fisetin decreased microtubule-associated protein 1 light-chain 3B (LC3B) and lysosome-associated membrane protein 1 (LAMP1) expression in LPS-treated cells, while the autophagy inhibitor chloroquine (CQ) could partially reverse this effect. In addition, fisetin reduced the elevated expression of p-PI3K, p-AKT and p-mTOR induced by LPS in a concentration-dependent manner.\nCONCLUSIONS: Fisetin diminished the expression and secretion of inflammatory cytokines and facilitated autophagosome-lysosome fusion and degradation in LPS-treated RAW264.7 cells via inhibition of the PI3K/AKT/mTOR signaling pathway. Overall, the results of this study provide new clues for the anti-inflammatory mechanism of fisetin and explain the crosstalk between autophagy and inflammation to some extent.","container-title":"Food &amp; Nutrition Research","DOI":"10.29219/fnr.v65.6355","ISSN":"1654-661X","journalAbbreviation":"Food Nutr Res","language":"eng","PMID":"33841067","PMCID":"PMC8009086","source":"PubMed","title":"Fisetin inhibits inflammation and induces autophagy by mediating PI3K/AKT/mTOR signaling in LPS-induced RAW264.7 cells","volume":"65","author":[{"family":"Sun","given":"Yue"},{"family":"Qin","given":"Hong"},{"family":"Zhang","given":"Huihui"},{"family":"Feng","given":"Xiangling"},{"family":"Yang","given":"Lina"},{"family":"Hou","given":"De-Xing"},{"family":"Chen","given":"Jihua"}],"issued":{"date-parts":[["2021"]]}}}],"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[22]</w:t>
            </w:r>
            <w:r w:rsidRPr="00082425">
              <w:rPr>
                <w:rFonts w:ascii="Times New Roman" w:eastAsia="宋体" w:hAnsi="Times New Roman" w:cs="Times New Roman"/>
              </w:rPr>
              <w:fldChar w:fldCharType="end"/>
            </w:r>
            <w:r w:rsidRPr="00082425">
              <w:rPr>
                <w:rFonts w:ascii="Times New Roman" w:eastAsia="宋体" w:hAnsi="Times New Roman" w:cs="Times New Roman"/>
              </w:rPr>
              <w:t>。这些机制表明，漆黃素在炎症相关疾病的治疗中具有潜在的应用价值。</w:t>
            </w:r>
          </w:p>
          <w:p w14:paraId="4098B2E1" w14:textId="25A2054D"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在抗肿瘤方面，漆黃素通过多种机制发挥其抗肿瘤活性。研究表明，漆黃素能够通过抑制</w:t>
            </w:r>
            <w:r w:rsidRPr="00082425">
              <w:rPr>
                <w:rFonts w:ascii="Times New Roman" w:eastAsia="宋体" w:hAnsi="Times New Roman" w:cs="Times New Roman"/>
              </w:rPr>
              <w:t>PI3K/Akt/mTOR</w:t>
            </w:r>
            <w:r w:rsidRPr="00082425">
              <w:rPr>
                <w:rFonts w:ascii="Times New Roman" w:eastAsia="宋体" w:hAnsi="Times New Roman" w:cs="Times New Roman"/>
              </w:rPr>
              <w:t>、</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和</w:t>
            </w:r>
            <w:r w:rsidRPr="00082425">
              <w:rPr>
                <w:rFonts w:ascii="Times New Roman" w:eastAsia="宋体" w:hAnsi="Times New Roman" w:cs="Times New Roman"/>
              </w:rPr>
              <w:t>MAPK</w:t>
            </w:r>
            <w:r w:rsidRPr="00082425">
              <w:rPr>
                <w:rFonts w:ascii="Times New Roman" w:eastAsia="宋体" w:hAnsi="Times New Roman" w:cs="Times New Roman"/>
              </w:rPr>
              <w:t>等关键信号通路，抑制肿瘤生长和转移</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{"citationID":"DhvEPy2a","properties":{"formattedCitation":"\\super [22]\\nosupersub{}","plainCitation":"[22]","noteIndex":0},"citationItems":[{"id":5967,"uris":["http://zotero.org/users/8103267/items/CUSGUDDH","http://zotero.org/users/8103267/items/TRGE58T5"],"itemData":{"id":5967,"type":"article-journal","abstract":"BACKGROUND: Fisetin, a natural potent flavonoid, has various beneficial, pharmacological activities. In this study, we investigated expression changes of the fisetin regulating genes in lipopolysaccharide (LPS)-treated RAW264.7 cells and explored the role of fisetin in inflammation and autophagy.\nMETHODS AND RESULTS: Microarray analysis identified 1,071 genes that were regulated by fisetin in LPS-treated RAW264.7 cells, and these genes were mainly related to the process of immune system response. Quantitative real-time polymerase chain reaction and Bio-Plex analysis indicated that fisetin decreased the expression and secretion of several inflammatory cytokines in cells administered with LPS. Western blot analysis and immunofluorescence assay showed that fisetin decreased microtubule-associated protein 1 light-chain 3B (LC3B) and lysosome-associated membrane protein 1 (LAMP1) expression in LPS-treated cells, while the autophagy inhibitor chloroquine (CQ) could partially reverse this effect. In addition, fisetin reduced the elevated expression of p-PI3K, p-AKT and p-mTOR induced by LPS in a concentration-dependent manner.\nCONCLUSIONS: Fisetin diminished the expression and secretion of inflammatory cytokines and facilitated autophagosome-lysosome fusion and degradation in LPS-treated RAW264.7 cells via inhibition of the PI3K/AKT/mTOR signaling pathway. Overall, the results of this study provide new clues for the anti-inflammatory mechanism of fisetin and explain the crosstalk between autophagy and inflammation to some extent.","container-title":"Food &amp; Nutrition Research","DOI":"10.29219/fnr.v65.6355","ISSN":"1654-661X","journalAbbreviation":"Food Nutr Res","language":"eng","PMID":"33841067","PMCID":"PMC8009086","source":"PubMed","title":"Fisetin inhibits inflammation and induces autophagy by mediating PI3K/AKT/mTOR signaling in LPS-induced RAW264.7 cells","volume":"65","author":[{"family":"Sun","given":"Yue"},{"family":"Qin","given":"Hong"},{"family":"Zhang","given":"Huihui"},{"family":"Feng","given":"Xiangling"},{"family":"Yang","given":"Lina"},{"family":"Hou","given":"De-Xing"},{"family":"Chen","given":"Jihua"}],"issued":{"date-parts":[["2021"]]}}}],"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[22]</w:t>
            </w:r>
            <w:r w:rsidRPr="00082425">
              <w:rPr>
                <w:rFonts w:ascii="Times New Roman" w:eastAsia="宋体" w:hAnsi="Times New Roman" w:cs="Times New Roman"/>
              </w:rPr>
              <w:fldChar w:fldCharType="end"/>
            </w:r>
            <w:r w:rsidRPr="00082425">
              <w:rPr>
                <w:rFonts w:ascii="Times New Roman" w:eastAsia="宋体" w:hAnsi="Times New Roman" w:cs="Times New Roman"/>
              </w:rPr>
              <w:t>。此外，漆黃素还通过诱</w:t>
            </w:r>
            <w:r w:rsidRPr="00082425">
              <w:rPr>
                <w:rFonts w:ascii="Times New Roman" w:eastAsia="宋体" w:hAnsi="Times New Roman" w:cs="Times New Roman"/>
              </w:rPr>
              <w:lastRenderedPageBreak/>
              <w:t>导细胞凋亡和自噬，增强化疗药物的疗效</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{"citationID":"JMQa8zdQ","properties":{"formattedCitation":"\\super [23,24]\\nosupersub{}","plainCitation":"[23,24]","noteIndex":0},"citationItems":[{"id":5973,"uris":["http://zotero.org/users/8103267/items/JW3TBU9B"],"itemData":{"id":5973,"type":"article-journal","abstract":"Fisetin (3,3',4',7-tetrahydroxyflavone), a flavonoid found in a number of fruits and vegetables, has diverse biological activities, including cytotoxic effects on cancer cells. In this study, we investigated the effect of fisetin on triple-negative breast cancer (TNBC) cells. TNBC has a poorer prognosis than other types of breast cancer and treatment options for this disease are limited. Fisetin inhibited the growth of MDA-MB-468 and MDA-MB-231 TNBC cells, as well as their ability to form colonies, without substantially affecting the growth of non-malignant cells. In addition, fisetin inhibited the growth of estrogen receptor-bearing MCF-7 breast cancer cells and human epidermal growth factor receptor 2-overexpressing SK-BR-3 breast cancer cells. Fisetin inhibited TNBC cell division and induced apoptosis, which was associated with mitochondrial membrane permeabilization and the activation of caspase-9 and caspase-8, as well as the cleavage of poly(ADP-ribose) polymerase-1. Induction of caspase-dependent apoptosis by fisetin was confirmed by reduced killing of TNBC cells in the presence of the pan-caspase inhibitors Z-VAD-FMK and BOC-D-FMK. Decreased phosphorylation of histone H3 at serine 10 in fisetin-treated TNBC cells at G2/M phase of the cell cycle suggested that fisetin-induced apoptosis was the result of Aurora B kinase inhibition. Interestingly, the cytotoxic effect of cisplatin, 5-fluorouracil, and 4-hydroxycyclophosphamide metabolite of cyclophosphamide on TNBC cells was increased in the presence of fisetin. These findings suggest that further investigation of fisetin is warranted for possible use in the management of TNBC. J. Cell. Biochem. 117: 1913-1925, 2016. © 2016 Wiley Periodicals, Inc.","container-title":"Journal of Cellular Biochemistry","DOI":"10.1002/jcb.25490","ISSN":"1097-4644","issue":"8","journalAbbreviation":"J Cell Biochem","language":"eng","page":"1913-1925","PMID":"26755433","source":"PubMed","title":"The Dietary Flavonoid Fisetin Causes Cell Cycle Arrest, Caspase-Dependent Apoptosis, and Enhanced Cytotoxicity of Chemotherapeutic Drugs in Triple-Negative Breast Cancer Cells","volume":"117","author":[{"family":"Smith","given":"Matthew L."},{"family":"Murphy","given":"Kaylee"},{"family":"Doucette","given":"Carolyn D."},{"family":"Greenshields","given":"Anna L."},{"family":"Hoskin","given":"David W."}],"issued":{"date-parts":[["2016",8]]}}},{"id":5975,"uris":["http://zotero.org/users/8103267/items/L38SILV4"],"itemData":{"id":5975,"type":"article-journal","abstract":"The mammalian target of rapamycin (mTOR) kinase is an important component of PTEN/PI3K/Akt signaling pathway, which is frequently deregulated in prostate cancer (CaP). Recent studies suggest that targeting PTEN/PI3K/Akt and mTOR signaling pathway could be an effective strategy for the treatment of hormone refractory CaP. Here, we show that the treatment of androgen-independent and PTEN-negative human CaP PC3 cells with fisetin, a dietary flavonoid, resulted in inhibition of mTOR kinase signaling pathway. Treatment of cells with fisetin inhibited mTOR activity and downregulated Raptor, Rictor, PRAS40 and GbetaL that resulted in loss of mTOR complexes (mTORC)1/2 formation. Fisetin also activated the mTOR repressor TSC2 through inhibition of Akt and activation of AMPK. Fisetin-mediated inhibition of mTOR resulted in hypophosphorylation of 4EBP1 and suppression of Cap-dependent translation. We also found that fisetin treatment leads to induction of autophagic-programmed cell death rather than cytoprotective autophagy as shown by small interfering RNA Beclin1-knockdown and autophagy inhibitor. Taken together, we provide evidence that fisetin functions as a dual inhibitor of mTORC1/2 signaling leading to inhibition of Cap-dependent translation and induction of autophagic cell death in PC3 cells. These results suggest that fisetin could be a useful chemotherapeutic agent in treatment of hormone refractory CaP.","container-title":"Carcinogenesis","DOI":"10.1093/carcin/bgq115","ISSN":"1460-2180","issue":"8","journalAbbreviation":"Carcinogenesis","language":"eng","page":"1424-1433","PMID":"20530556","PMCID":"PMC2915634","source":"PubMed","title":"Fisetin induces autophagic cell death through suppression of mTOR signaling pathway in prostate cancer cells","volume":"31","author":[{"family":"Suh","given":"Yewseok"},{"family":"Afaq","given":"Farrukh"},{"family":"Khan","given":"Naghma"},{"family":"Johnson","given":"Jeremy J."},{"family":"Khusro","given":"Fatima H."},{"family":"Mukhtar","given":"Hasan"}],"issued":{"date-parts":[["2010",8]]}}}],"schema":"https://github.com/citation-style-language/schema/raw/master/csl-citation.json"}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[23,24]</w:t>
            </w:r>
            <w:r w:rsidRPr="00082425">
              <w:rPr>
                <w:rFonts w:ascii="Times New Roman" w:eastAsia="宋体" w:hAnsi="Times New Roman" w:cs="Times New Roman"/>
              </w:rPr>
              <w:fldChar w:fldCharType="end"/>
            </w:r>
            <w:r w:rsidRPr="00082425">
              <w:rPr>
                <w:rFonts w:ascii="Times New Roman" w:eastAsia="宋体" w:hAnsi="Times New Roman" w:cs="Times New Roman"/>
              </w:rPr>
              <w:t>。这些研究表明，漆黃素在癌症治疗中具有重要的辅助作用。</w:t>
            </w:r>
          </w:p>
          <w:p w14:paraId="3D133F8D" w14:textId="7777777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综上所述，漆黃素作为一种多功能的天然化合物，在骨骼健康、抗炎和抗肿瘤等多个领域展现出显著的生物活性。未来的研究应进一步探索漆黃素在临床应用中的潜力，并优化其生物利用度，以更好地发挥其治疗作用。</w:t>
            </w:r>
          </w:p>
          <w:p w14:paraId="06346461" w14:textId="77777777" w:rsidR="004E7B66" w:rsidRPr="00082425" w:rsidRDefault="004E7B66" w:rsidP="004E7B66">
            <w:pPr>
              <w:spacing w:line="360" w:lineRule="auto"/>
              <w:rPr>
                <w:rFonts w:ascii="Times New Roman" w:eastAsia="宋体" w:hAnsi="Times New Roman" w:cs="Times New Roman"/>
              </w:rPr>
            </w:pPr>
          </w:p>
        </w:tc>
      </w:tr>
      <w:tr w:rsidR="00E95036" w:rsidRPr="00082425" w14:paraId="581FFFA5" w14:textId="673FE2E5" w:rsidTr="00EF2D00">
        <w:tc>
          <w:tcPr>
            <w:tcW w:w="829" w:type="dxa"/>
          </w:tcPr>
          <w:p w14:paraId="694FCFEF" w14:textId="07EF7B2A" w:rsidR="00E95036" w:rsidRPr="00082425" w:rsidRDefault="00B23719"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8</w:t>
            </w:r>
          </w:p>
        </w:tc>
        <w:tc>
          <w:tcPr>
            <w:tcW w:w="3355" w:type="dxa"/>
          </w:tcPr>
          <w:p w14:paraId="109E9077" w14:textId="77777777" w:rsidR="00E95036" w:rsidRPr="00082425" w:rsidRDefault="00E95036" w:rsidP="00A872CD">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lang w:val="pt-BR"/>
              </w:rPr>
              <w:t>四氢咔唑</w:t>
            </w:r>
            <w:proofErr w:type="gramStart"/>
            <w:r w:rsidRPr="00082425">
              <w:rPr>
                <w:rFonts w:ascii="Times New Roman" w:eastAsia="宋体" w:hAnsi="Times New Roman" w:cs="Times New Roman"/>
                <w:color w:val="000000"/>
                <w:szCs w:val="22"/>
                <w:lang w:val="pt-BR"/>
              </w:rPr>
              <w:t>酮</w:t>
            </w:r>
            <w:proofErr w:type="gramEnd"/>
          </w:p>
          <w:p w14:paraId="35E8FCFC" w14:textId="2E18D736"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2,3-dihydro-1H-carbazol-4(9H)-one</w:t>
            </w:r>
          </w:p>
        </w:tc>
        <w:tc>
          <w:tcPr>
            <w:tcW w:w="10133" w:type="dxa"/>
          </w:tcPr>
          <w:p w14:paraId="3EDF1AA8" w14:textId="77777777" w:rsidR="00E95036" w:rsidRPr="00082425" w:rsidRDefault="00E95036" w:rsidP="00A872CD">
            <w:pPr>
              <w:spacing w:line="360" w:lineRule="auto"/>
              <w:rPr>
                <w:rFonts w:ascii="Times New Roman" w:eastAsia="宋体" w:hAnsi="Times New Roman" w:cs="Times New Roman"/>
              </w:rPr>
            </w:pPr>
            <w:r w:rsidRPr="00082425">
              <w:rPr>
                <w:rFonts w:ascii="Times New Roman" w:eastAsia="宋体" w:hAnsi="Times New Roman" w:cs="Times New Roman"/>
              </w:rPr>
              <w:t>其生物活性包括在抗菌、</w:t>
            </w:r>
            <w:r w:rsidR="0084593F" w:rsidRPr="00082425">
              <w:rPr>
                <w:rFonts w:ascii="Times New Roman" w:eastAsia="宋体" w:hAnsi="Times New Roman" w:cs="Times New Roman"/>
              </w:rPr>
              <w:t>抗肿瘤</w:t>
            </w:r>
            <w:r w:rsidRPr="00082425">
              <w:rPr>
                <w:rFonts w:ascii="Times New Roman" w:eastAsia="宋体" w:hAnsi="Times New Roman" w:cs="Times New Roman"/>
              </w:rPr>
              <w:t>等多种作用</w:t>
            </w:r>
            <w:r w:rsidR="002B6218" w:rsidRPr="00082425">
              <w:rPr>
                <w:rFonts w:ascii="Times New Roman" w:eastAsia="宋体" w:hAnsi="Times New Roman" w:cs="Times New Roman"/>
              </w:rPr>
              <w:t>。</w:t>
            </w:r>
          </w:p>
          <w:p w14:paraId="0D004A52" w14:textId="5FAC1BFF" w:rsidR="002B6218" w:rsidRPr="00082425" w:rsidRDefault="002B6218" w:rsidP="002B6218">
            <w:pPr>
              <w:spacing w:line="360" w:lineRule="auto"/>
              <w:rPr>
                <w:rFonts w:ascii="Times New Roman" w:eastAsia="宋体" w:hAnsi="Times New Roman" w:cs="Times New Roman"/>
              </w:rPr>
            </w:pPr>
            <w:r w:rsidRPr="00082425">
              <w:rPr>
                <w:rFonts w:ascii="Times New Roman" w:eastAsia="宋体" w:hAnsi="Times New Roman" w:cs="Times New Roman"/>
              </w:rPr>
              <w:t>首先，</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的抗菌活性得到了广泛关注。研究表明，某些咔唑类化合物对革兰氏阳性菌和革兰氏阴性菌均表现出显著的抑制作用。例如，</w:t>
            </w:r>
            <w:r w:rsidRPr="00082425">
              <w:rPr>
                <w:rFonts w:ascii="Times New Roman" w:eastAsia="宋体" w:hAnsi="Times New Roman" w:cs="Times New Roman"/>
              </w:rPr>
              <w:t>Murrayaquinone A</w:t>
            </w:r>
            <w:r w:rsidRPr="00082425">
              <w:rPr>
                <w:rFonts w:ascii="Times New Roman" w:eastAsia="宋体" w:hAnsi="Times New Roman" w:cs="Times New Roman"/>
              </w:rPr>
              <w:t>和</w:t>
            </w:r>
            <w:r w:rsidRPr="00082425">
              <w:rPr>
                <w:rFonts w:ascii="Times New Roman" w:eastAsia="宋体" w:hAnsi="Times New Roman" w:cs="Times New Roman"/>
              </w:rPr>
              <w:t>6-</w:t>
            </w:r>
            <w:r w:rsidRPr="00082425">
              <w:rPr>
                <w:rFonts w:ascii="Times New Roman" w:eastAsia="宋体" w:hAnsi="Times New Roman" w:cs="Times New Roman"/>
              </w:rPr>
              <w:t>甲氧基</w:t>
            </w:r>
            <w:r w:rsidRPr="00082425">
              <w:rPr>
                <w:rFonts w:ascii="Times New Roman" w:eastAsia="宋体" w:hAnsi="Times New Roman" w:cs="Times New Roman"/>
              </w:rPr>
              <w:t>-3,7-</w:t>
            </w:r>
            <w:r w:rsidRPr="00082425">
              <w:rPr>
                <w:rFonts w:ascii="Times New Roman" w:eastAsia="宋体" w:hAnsi="Times New Roman" w:cs="Times New Roman"/>
              </w:rPr>
              <w:t>二甲基</w:t>
            </w:r>
            <w:r w:rsidRPr="00082425">
              <w:rPr>
                <w:rFonts w:ascii="Times New Roman" w:eastAsia="宋体" w:hAnsi="Times New Roman" w:cs="Times New Roman"/>
              </w:rPr>
              <w:t>-2,3-</w:t>
            </w:r>
            <w:r w:rsidRPr="00082425">
              <w:rPr>
                <w:rFonts w:ascii="Times New Roman" w:eastAsia="宋体" w:hAnsi="Times New Roman" w:cs="Times New Roman"/>
              </w:rPr>
              <w:t>二氢</w:t>
            </w:r>
            <w:r w:rsidRPr="00082425">
              <w:rPr>
                <w:rFonts w:ascii="Times New Roman" w:eastAsia="宋体" w:hAnsi="Times New Roman" w:cs="Times New Roman"/>
              </w:rPr>
              <w:t>-1H-</w:t>
            </w:r>
            <w:r w:rsidRPr="00082425">
              <w:rPr>
                <w:rFonts w:ascii="Times New Roman" w:eastAsia="宋体" w:hAnsi="Times New Roman" w:cs="Times New Roman"/>
              </w:rPr>
              <w:t>咔唑</w:t>
            </w:r>
            <w:r w:rsidRPr="00082425">
              <w:rPr>
                <w:rFonts w:ascii="Times New Roman" w:eastAsia="宋体" w:hAnsi="Times New Roman" w:cs="Times New Roman"/>
              </w:rPr>
              <w:t>-1,4(9H)-</w:t>
            </w:r>
            <w:proofErr w:type="gramStart"/>
            <w:r w:rsidRPr="00082425">
              <w:rPr>
                <w:rFonts w:ascii="Times New Roman" w:eastAsia="宋体" w:hAnsi="Times New Roman" w:cs="Times New Roman"/>
              </w:rPr>
              <w:t>二酮在对抗</w:t>
            </w:r>
            <w:proofErr w:type="gramEnd"/>
            <w:r w:rsidRPr="00082425">
              <w:rPr>
                <w:rFonts w:ascii="Times New Roman" w:eastAsia="宋体" w:hAnsi="Times New Roman" w:cs="Times New Roman"/>
              </w:rPr>
              <w:t>金黄色葡萄球菌和大肠杆菌时表现出良好的抗菌活性，其最低抑菌浓度（</w:t>
            </w:r>
            <w:r w:rsidRPr="00082425">
              <w:rPr>
                <w:rFonts w:ascii="Times New Roman" w:eastAsia="宋体" w:hAnsi="Times New Roman" w:cs="Times New Roman"/>
              </w:rPr>
              <w:t>MIC</w:t>
            </w:r>
            <w:r w:rsidRPr="00082425">
              <w:rPr>
                <w:rFonts w:ascii="Times New Roman" w:eastAsia="宋体" w:hAnsi="Times New Roman" w:cs="Times New Roman"/>
              </w:rPr>
              <w:t>）为</w:t>
            </w:r>
            <w:r w:rsidRPr="00082425">
              <w:rPr>
                <w:rFonts w:ascii="Times New Roman" w:eastAsia="宋体" w:hAnsi="Times New Roman" w:cs="Times New Roman"/>
              </w:rPr>
              <w:t>50 μg/mL</w:t>
            </w:r>
            <w:r w:rsidR="001924A4"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{"citationID":"pnToOQyj","properties":{"formattedCitation":"\\super [25]\\nosupersub{}","plainCitation":"[25]","noteIndex":0},"citationItems":[{"id":6038,"uris":["http://zotero.org/users/8103267/items/5MCT2GMY"],"itemData":{"id":6038,"type":"article-journal","abstract":"The antibacterial activity of Murrayaquinone A (10), a naturally occurring carbazoloquinone alkaloid, and 6-methoxy-3,7-dimethyl-2,3-dihydro-1H-carbazole-1,4(9H)-dione (11), a synthetic carbazoloquinone, both obtained during the development of the synthesis of Carbazomycin G, having unique quinone moiety, was studied against Gram-positive (Bacillus subtilis and Staphylococcus aureus) and Gram-negative (Escherichia coli and Pseudomonas sp.) bacteria. Compound 10 showed antibacterial activities against both of Escherichia coli and Staphylococcus aureus whereas compound 11 indicated the activity against Staphylococcus aureus only. Both compounds 10 and 11 exhibited minimum inhibitory concentration (MIC) of 50  μ g mL(-1) against Staphylococcus aureus.","container-title":"International Journal of Microbiology","DOI":"10.1155/2014/540208","ISSN":"1687-918X","journalAbbreviation":"Int J Microbiol","language":"eng","page":"540208","PMID":"24963299","PMCID":"PMC4055288","source":"PubMed","title":"Antibacterial Activity of Murrayaquinone A and 6-Methoxy-3,7-dimethyl-2,3-dihydro-1H-carbazole-1,4(9H)-dione","volume":"2014","author":[{"family":"Chakraborty","given":"Biswanath"},{"family":"Chakraborty","given":"Suchandra"},{"family":"Saha","given":"Chandan"}],"issued":{"date-parts":[["2014"]]}}}],"schema":"https://github.com/citation-style-language/schema/raw/master/csl-citation.json"} </w:instrText>
            </w:r>
            <w:r w:rsidR="001924A4"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[25]</w:t>
            </w:r>
            <w:r w:rsidR="001924A4" w:rsidRPr="00082425">
              <w:rPr>
                <w:rFonts w:ascii="Times New Roman" w:eastAsia="宋体" w:hAnsi="Times New Roman" w:cs="Times New Roman"/>
              </w:rPr>
              <w:fldChar w:fldCharType="end"/>
            </w:r>
            <w:r w:rsidRPr="00082425">
              <w:rPr>
                <w:rFonts w:ascii="Times New Roman" w:eastAsia="宋体" w:hAnsi="Times New Roman" w:cs="Times New Roman"/>
              </w:rPr>
              <w:t>。这种抗菌特性使得</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类化合物在开发新型抗菌药物方面具有重要的研究价值。</w:t>
            </w:r>
          </w:p>
          <w:p w14:paraId="5F2FEEA0" w14:textId="6D67D0EC" w:rsidR="002B6218" w:rsidRPr="00082425" w:rsidRDefault="002B6218" w:rsidP="002B6218">
            <w:pPr>
              <w:spacing w:line="360" w:lineRule="auto"/>
              <w:rPr>
                <w:rFonts w:ascii="Times New Roman" w:eastAsia="宋体" w:hAnsi="Times New Roman" w:cs="Times New Roman"/>
              </w:rPr>
            </w:pPr>
            <w:r w:rsidRPr="00082425">
              <w:rPr>
                <w:rFonts w:ascii="Times New Roman" w:eastAsia="宋体" w:hAnsi="Times New Roman" w:cs="Times New Roman"/>
              </w:rPr>
              <w:t>此外，</w:t>
            </w:r>
            <w:r w:rsidR="001924A4" w:rsidRPr="00082425">
              <w:rPr>
                <w:rFonts w:ascii="Times New Roman" w:eastAsia="宋体" w:hAnsi="Times New Roman" w:cs="Times New Roman"/>
              </w:rPr>
              <w:t>四氢</w:t>
            </w:r>
            <w:proofErr w:type="gramStart"/>
            <w:r w:rsidR="001924A4" w:rsidRPr="00082425">
              <w:rPr>
                <w:rFonts w:ascii="Times New Roman" w:eastAsia="宋体" w:hAnsi="Times New Roman" w:cs="Times New Roman"/>
              </w:rPr>
              <w:t>咔唑酮</w:t>
            </w:r>
            <w:r w:rsidRPr="00082425">
              <w:rPr>
                <w:rFonts w:ascii="Times New Roman" w:eastAsia="宋体" w:hAnsi="Times New Roman" w:cs="Times New Roman"/>
              </w:rPr>
              <w:t>还展现</w:t>
            </w:r>
            <w:proofErr w:type="gramEnd"/>
            <w:r w:rsidRPr="00082425">
              <w:rPr>
                <w:rFonts w:ascii="Times New Roman" w:eastAsia="宋体" w:hAnsi="Times New Roman" w:cs="Times New Roman"/>
              </w:rPr>
              <w:t>出一定的</w:t>
            </w:r>
            <w:r w:rsidR="00FE0C39" w:rsidRPr="00082425">
              <w:rPr>
                <w:rFonts w:ascii="Times New Roman" w:eastAsia="宋体" w:hAnsi="Times New Roman" w:cs="Times New Roman"/>
              </w:rPr>
              <w:t>抗肿瘤</w:t>
            </w:r>
            <w:r w:rsidRPr="00082425">
              <w:rPr>
                <w:rFonts w:ascii="Times New Roman" w:eastAsia="宋体" w:hAnsi="Times New Roman" w:cs="Times New Roman"/>
              </w:rPr>
              <w:t>潜力。通过合成和细胞毒性评估，研究人员发现某些咔唑衍生物能够有效抑制癌细胞的生长。例如，</w:t>
            </w:r>
            <w:r w:rsidRPr="00082425">
              <w:rPr>
                <w:rFonts w:ascii="Times New Roman" w:eastAsia="宋体" w:hAnsi="Times New Roman" w:cs="Times New Roman"/>
              </w:rPr>
              <w:t>1-[3-(9H-</w:t>
            </w:r>
            <w:r w:rsidRPr="00082425">
              <w:rPr>
                <w:rFonts w:ascii="Times New Roman" w:eastAsia="宋体" w:hAnsi="Times New Roman" w:cs="Times New Roman"/>
              </w:rPr>
              <w:t>咔唑</w:t>
            </w:r>
            <w:r w:rsidRPr="00082425">
              <w:rPr>
                <w:rFonts w:ascii="Times New Roman" w:eastAsia="宋体" w:hAnsi="Times New Roman" w:cs="Times New Roman"/>
              </w:rPr>
              <w:t>-4-</w:t>
            </w:r>
            <w:r w:rsidRPr="00082425">
              <w:rPr>
                <w:rFonts w:ascii="Times New Roman" w:eastAsia="宋体" w:hAnsi="Times New Roman" w:cs="Times New Roman"/>
              </w:rPr>
              <w:t>氧基</w:t>
            </w:r>
            <w:r w:rsidRPr="00082425">
              <w:rPr>
                <w:rFonts w:ascii="Times New Roman" w:eastAsia="宋体" w:hAnsi="Times New Roman" w:cs="Times New Roman"/>
              </w:rPr>
              <w:t>)-2-</w:t>
            </w:r>
            <w:r w:rsidRPr="00082425">
              <w:rPr>
                <w:rFonts w:ascii="Times New Roman" w:eastAsia="宋体" w:hAnsi="Times New Roman" w:cs="Times New Roman"/>
              </w:rPr>
              <w:t>羟基丙基</w:t>
            </w:r>
            <w:r w:rsidRPr="00082425">
              <w:rPr>
                <w:rFonts w:ascii="Times New Roman" w:eastAsia="宋体" w:hAnsi="Times New Roman" w:cs="Times New Roman"/>
              </w:rPr>
              <w:t>]-3-</w:t>
            </w:r>
            <w:r w:rsidRPr="00082425">
              <w:rPr>
                <w:rFonts w:ascii="Times New Roman" w:eastAsia="宋体" w:hAnsi="Times New Roman" w:cs="Times New Roman"/>
              </w:rPr>
              <w:t>芳基</w:t>
            </w:r>
            <w:r w:rsidRPr="00082425">
              <w:rPr>
                <w:rFonts w:ascii="Times New Roman" w:eastAsia="宋体" w:hAnsi="Times New Roman" w:cs="Times New Roman"/>
              </w:rPr>
              <w:t>-1H-</w:t>
            </w:r>
            <w:r w:rsidRPr="00082425">
              <w:rPr>
                <w:rFonts w:ascii="Times New Roman" w:eastAsia="宋体" w:hAnsi="Times New Roman" w:cs="Times New Roman"/>
              </w:rPr>
              <w:t>吡唑</w:t>
            </w:r>
            <w:r w:rsidRPr="00082425">
              <w:rPr>
                <w:rFonts w:ascii="Times New Roman" w:eastAsia="宋体" w:hAnsi="Times New Roman" w:cs="Times New Roman"/>
              </w:rPr>
              <w:t>-5-</w:t>
            </w:r>
            <w:r w:rsidRPr="00082425">
              <w:rPr>
                <w:rFonts w:ascii="Times New Roman" w:eastAsia="宋体" w:hAnsi="Times New Roman" w:cs="Times New Roman"/>
              </w:rPr>
              <w:t>羧酸衍生物在体外对人类神经母细胞瘤（</w:t>
            </w:r>
            <w:r w:rsidRPr="00082425">
              <w:rPr>
                <w:rFonts w:ascii="Times New Roman" w:eastAsia="宋体" w:hAnsi="Times New Roman" w:cs="Times New Roman"/>
              </w:rPr>
              <w:t>SK-N-SH</w:t>
            </w:r>
            <w:r w:rsidRPr="00082425">
              <w:rPr>
                <w:rFonts w:ascii="Times New Roman" w:eastAsia="宋体" w:hAnsi="Times New Roman" w:cs="Times New Roman"/>
              </w:rPr>
              <w:t>）、人类肺癌（</w:t>
            </w:r>
            <w:r w:rsidRPr="00082425">
              <w:rPr>
                <w:rFonts w:ascii="Times New Roman" w:eastAsia="宋体" w:hAnsi="Times New Roman" w:cs="Times New Roman"/>
              </w:rPr>
              <w:t>A549</w:t>
            </w:r>
            <w:r w:rsidRPr="00082425">
              <w:rPr>
                <w:rFonts w:ascii="Times New Roman" w:eastAsia="宋体" w:hAnsi="Times New Roman" w:cs="Times New Roman"/>
              </w:rPr>
              <w:t>）和人类乳腺癌（</w:t>
            </w:r>
            <w:r w:rsidRPr="00082425">
              <w:rPr>
                <w:rFonts w:ascii="Times New Roman" w:eastAsia="宋体" w:hAnsi="Times New Roman" w:cs="Times New Roman"/>
              </w:rPr>
              <w:t>MCF-7</w:t>
            </w:r>
            <w:r w:rsidRPr="00082425">
              <w:rPr>
                <w:rFonts w:ascii="Times New Roman" w:eastAsia="宋体" w:hAnsi="Times New Roman" w:cs="Times New Roman"/>
              </w:rPr>
              <w:t>）细胞系表现出显著的抑制作用，其中化合物</w:t>
            </w:r>
            <w:r w:rsidRPr="00082425">
              <w:rPr>
                <w:rFonts w:ascii="Times New Roman" w:eastAsia="宋体" w:hAnsi="Times New Roman" w:cs="Times New Roman"/>
              </w:rPr>
              <w:t>3d</w:t>
            </w:r>
            <w:r w:rsidRPr="00082425">
              <w:rPr>
                <w:rFonts w:ascii="Times New Roman" w:eastAsia="宋体" w:hAnsi="Times New Roman" w:cs="Times New Roman"/>
              </w:rPr>
              <w:t>在抑制</w:t>
            </w:r>
            <w:r w:rsidRPr="00082425">
              <w:rPr>
                <w:rFonts w:ascii="Times New Roman" w:eastAsia="宋体" w:hAnsi="Times New Roman" w:cs="Times New Roman"/>
              </w:rPr>
              <w:t>SK-N-SH</w:t>
            </w:r>
            <w:r w:rsidRPr="00082425">
              <w:rPr>
                <w:rFonts w:ascii="Times New Roman" w:eastAsia="宋体" w:hAnsi="Times New Roman" w:cs="Times New Roman"/>
              </w:rPr>
              <w:t>细胞生长方面最为有效</w:t>
            </w:r>
            <w:r w:rsidR="001924A4"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{"citationID":"YLXcTbrk","properties":{"formattedCitation":"\\super [25]\\nosupersub{}","plainCitation":"[25]","noteIndex":0},"citationItems":[{"id":6038,"uris":["http://zotero.org/users/8103267/items/5MCT2GMY"],"itemData":{"id":6038,"type":"article-journal","abstract":"The antibacterial activity of Murrayaquinone A (10), a naturally occurring carbazoloquinone alkaloid, and 6-methoxy-3,7-dimethyl-2,3-dihydro-1H-carbazole-1,4(9H)-dione (11), a synthetic carbazoloquinone, both obtained during the development of the synthesis of Carbazomycin G, having unique quinone moiety, was studied against Gram-positive (Bacillus subtilis and Staphylococcus aureus) and Gram-negative (Escherichia coli and Pseudomonas sp.) bacteria. Compound 10 showed antibacterial activities against both of Escherichia coli and Staphylococcus aureus whereas compound 11 indicated the activity against Staphylococcus aureus only. Both compounds 10 and 11 exhibited minimum inhibitory concentration (MIC) of 50  μ g mL(-1) against Staphylococcus aureus.","container-title":"International Journal of Microbiology","DOI":"10.1155/2014/540208","ISSN":"1687-918X","journalAbbreviation":"Int J Microbiol","language":"eng","page":"540208","PMID":"24963299","PMCID":"PMC4055288","source":"PubMed","title":"Antibacterial Activity of Murrayaquinone A and 6-Methoxy-3,7-dimethyl-2,3-dihydro-1H-carbazole-1,4(9H)-dione","volume":"2014","author":[{"family":"Chakraborty","given":"Biswanath"},{"family":"Chakraborty","given":"Suchandra"},{"family":"Saha","given":"Chandan"}],"issued":{"date-parts":[["2014"]]}}}],"schema":"https://github.com/citation-style-language/schema/raw/master/csl-citation.json"} </w:instrText>
            </w:r>
            <w:r w:rsidR="001924A4"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[25]</w:t>
            </w:r>
            <w:r w:rsidR="001924A4" w:rsidRPr="00082425">
              <w:rPr>
                <w:rFonts w:ascii="Times New Roman" w:eastAsia="宋体" w:hAnsi="Times New Roman" w:cs="Times New Roman"/>
              </w:rPr>
              <w:fldChar w:fldCharType="end"/>
            </w:r>
            <w:r w:rsidRPr="00082425">
              <w:rPr>
                <w:rFonts w:ascii="Times New Roman" w:eastAsia="宋体" w:hAnsi="Times New Roman" w:cs="Times New Roman"/>
              </w:rPr>
              <w:t>。这些研究结果表明，</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类化合物在</w:t>
            </w:r>
            <w:r w:rsidR="00FE0C39" w:rsidRPr="00082425">
              <w:rPr>
                <w:rFonts w:ascii="Times New Roman" w:eastAsia="宋体" w:hAnsi="Times New Roman" w:cs="Times New Roman"/>
              </w:rPr>
              <w:t>抗肿瘤</w:t>
            </w:r>
            <w:r w:rsidRPr="00082425">
              <w:rPr>
                <w:rFonts w:ascii="Times New Roman" w:eastAsia="宋体" w:hAnsi="Times New Roman" w:cs="Times New Roman"/>
              </w:rPr>
              <w:t>药物开发中具有潜在的应用前景。</w:t>
            </w:r>
          </w:p>
          <w:p w14:paraId="4CE24ADD" w14:textId="178B487B" w:rsidR="002B6218" w:rsidRPr="00082425" w:rsidRDefault="002B6218" w:rsidP="002B6218">
            <w:pPr>
              <w:spacing w:line="360" w:lineRule="auto"/>
              <w:rPr>
                <w:rFonts w:ascii="Times New Roman" w:eastAsia="宋体" w:hAnsi="Times New Roman" w:cs="Times New Roman"/>
              </w:rPr>
            </w:pPr>
            <w:r w:rsidRPr="00082425">
              <w:rPr>
                <w:rFonts w:ascii="Times New Roman" w:eastAsia="宋体" w:hAnsi="Times New Roman" w:cs="Times New Roman"/>
              </w:rPr>
              <w:t>最后，</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的合成方法也为其生物活性的研究提供了便利。通过钌</w:t>
            </w:r>
            <w:r w:rsidRPr="00082425">
              <w:rPr>
                <w:rFonts w:ascii="Times New Roman" w:eastAsia="宋体" w:hAnsi="Times New Roman" w:cs="Times New Roman"/>
              </w:rPr>
              <w:t>(III)</w:t>
            </w:r>
            <w:r w:rsidRPr="00082425">
              <w:rPr>
                <w:rFonts w:ascii="Times New Roman" w:eastAsia="宋体" w:hAnsi="Times New Roman" w:cs="Times New Roman"/>
              </w:rPr>
              <w:t>催化的</w:t>
            </w:r>
            <w:r w:rsidRPr="00082425">
              <w:rPr>
                <w:rFonts w:ascii="Times New Roman" w:eastAsia="宋体" w:hAnsi="Times New Roman" w:cs="Times New Roman"/>
              </w:rPr>
              <w:t>C-H</w:t>
            </w:r>
            <w:r w:rsidRPr="00082425">
              <w:rPr>
                <w:rFonts w:ascii="Times New Roman" w:eastAsia="宋体" w:hAnsi="Times New Roman" w:cs="Times New Roman"/>
              </w:rPr>
              <w:t>活化</w:t>
            </w:r>
            <w:r w:rsidRPr="00082425">
              <w:rPr>
                <w:rFonts w:ascii="Times New Roman" w:eastAsia="宋体" w:hAnsi="Times New Roman" w:cs="Times New Roman"/>
              </w:rPr>
              <w:t>/</w:t>
            </w:r>
            <w:r w:rsidRPr="00082425">
              <w:rPr>
                <w:rFonts w:ascii="Times New Roman" w:eastAsia="宋体" w:hAnsi="Times New Roman" w:cs="Times New Roman"/>
              </w:rPr>
              <w:t>环化反</w:t>
            </w:r>
            <w:r w:rsidRPr="00082425">
              <w:rPr>
                <w:rFonts w:ascii="Times New Roman" w:eastAsia="宋体" w:hAnsi="Times New Roman" w:cs="Times New Roman"/>
              </w:rPr>
              <w:lastRenderedPageBreak/>
              <w:t>应，可以在温和条件下高效合成多种</w:t>
            </w:r>
            <w:r w:rsidRPr="00082425">
              <w:rPr>
                <w:rFonts w:ascii="Times New Roman" w:eastAsia="宋体" w:hAnsi="Times New Roman" w:cs="Times New Roman"/>
              </w:rPr>
              <w:t>N-</w:t>
            </w:r>
            <w:r w:rsidRPr="00082425">
              <w:rPr>
                <w:rFonts w:ascii="Times New Roman" w:eastAsia="宋体" w:hAnsi="Times New Roman" w:cs="Times New Roman"/>
              </w:rPr>
              <w:t>酰基</w:t>
            </w:r>
            <w:r w:rsidRPr="00082425">
              <w:rPr>
                <w:rFonts w:ascii="Times New Roman" w:eastAsia="宋体" w:hAnsi="Times New Roman" w:cs="Times New Roman"/>
              </w:rPr>
              <w:t>-</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。这种方法不仅操作简单、可扩展性强，而且具有广泛的官能团耐受性，且仅产生水和氮气作为副产物</w:t>
            </w:r>
            <w:r w:rsidR="001924A4"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{"citationID":"OUnMKPqo","properties":{"formattedCitation":"\\super [26]\\nosupersub{}","plainCitation":"[26]","noteIndex":0},"citationItems":[{"id":6041,"uris":["http://zotero.org/users/8103267/items/KLAAHCGH"],"itemData":{"id":6041,"type":"article-journal","abstract":"A Rh(III)-catalyzed C-H activation/cyclization cascade reaction is described. The reaction involves cyclic 2-diazo-1,3-diketones and N-arylamides, and it proceeds via an intermolecular C-C bond formation and subsequent intramolecular C-N bond formation. A variety of N-acyl-2,3-dihydro-1H-carbazol-4(9H)-ones were obtained under mild conditions in good to excellent yields (65-90%). Key features of this strategy include high-efficiency, operational simplicity, scalability, and broad functional-group tolerance. In addition, H2O and N2 are the only byproducts. Carbazole derivatives with free NH groups can be easily obtained through N-deprotection reactions.","container-title":"ACS omega","DOI":"10.1021/acsomega.7b01637","ISSN":"2470-1343","issue":"11","journalAbbreviation":"ACS Omega","language":"eng","page":"8507-8516","PMID":"31457387","PMCID":"PMC6645244","source":"PubMed","title":"Rh(III)-Catalyzed C-H Activation/Intramolecular Cyclization: Access to N-Acyl-2,3-dihydro-1H-carbazol-4(9H)-ones from Cyclic 2-Diazo-1,3-diketones and N-Arylamides","title-short":"Rh(III)-Catalyzed C-H Activation/Intramolecular Cyclization","volume":"2","author":[{"family":"Zuo","given":"Youpeng"},{"family":"He","given":"Xinwei"},{"family":"Ning","given":"Yi"},{"family":"Wu","given":"Yuhao"},{"family":"Shang","given":"Yongjia"}],"issued":{"date-parts":[["2017",11,30]]}}}],"schema":"https://github.com/citation-style-language/schema/raw/master/csl-citation.json"} </w:instrText>
            </w:r>
            <w:r w:rsidR="001924A4"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[26]</w:t>
            </w:r>
            <w:r w:rsidR="001924A4" w:rsidRPr="00082425">
              <w:rPr>
                <w:rFonts w:ascii="Times New Roman" w:eastAsia="宋体" w:hAnsi="Times New Roman" w:cs="Times New Roman"/>
              </w:rPr>
              <w:fldChar w:fldCharType="end"/>
            </w:r>
            <w:r w:rsidRPr="00082425">
              <w:rPr>
                <w:rFonts w:ascii="Times New Roman" w:eastAsia="宋体" w:hAnsi="Times New Roman" w:cs="Times New Roman"/>
              </w:rPr>
              <w:t>。这种合成策略为进一步研究</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的生物活性提供了重要的基础。</w:t>
            </w:r>
          </w:p>
          <w:p w14:paraId="205ED8DA" w14:textId="63D38AD1" w:rsidR="002B6218" w:rsidRPr="00082425" w:rsidRDefault="002B6218" w:rsidP="002B6218">
            <w:pPr>
              <w:spacing w:line="360" w:lineRule="auto"/>
              <w:rPr>
                <w:rFonts w:ascii="Times New Roman" w:eastAsia="宋体" w:hAnsi="Times New Roman" w:cs="Times New Roman"/>
              </w:rPr>
            </w:pPr>
            <w:r w:rsidRPr="00082425">
              <w:rPr>
                <w:rFonts w:ascii="Times New Roman" w:eastAsia="宋体" w:hAnsi="Times New Roman" w:cs="Times New Roman"/>
              </w:rPr>
              <w:t>综上所述，</w:t>
            </w:r>
            <w:r w:rsidR="001924A4" w:rsidRPr="00082425">
              <w:rPr>
                <w:rFonts w:ascii="Times New Roman" w:eastAsia="宋体" w:hAnsi="Times New Roman" w:cs="Times New Roman"/>
              </w:rPr>
              <w:t>四氢咔唑酮</w:t>
            </w:r>
            <w:r w:rsidRPr="00082425">
              <w:rPr>
                <w:rFonts w:ascii="Times New Roman" w:eastAsia="宋体" w:hAnsi="Times New Roman" w:cs="Times New Roman"/>
              </w:rPr>
              <w:t>类化合物在抗菌、</w:t>
            </w:r>
            <w:r w:rsidR="00FE0C39" w:rsidRPr="00082425">
              <w:rPr>
                <w:rFonts w:ascii="Times New Roman" w:eastAsia="宋体" w:hAnsi="Times New Roman" w:cs="Times New Roman"/>
              </w:rPr>
              <w:t>抗肿瘤</w:t>
            </w:r>
            <w:r w:rsidRPr="00082425">
              <w:rPr>
                <w:rFonts w:ascii="Times New Roman" w:eastAsia="宋体" w:hAnsi="Times New Roman" w:cs="Times New Roman"/>
              </w:rPr>
              <w:t>等生物活性方面展现出广阔的应用前景。未来的研究可以进一步探索其在其他生物学功能中的潜力，并通过优化合成方法提高其应用价值。</w:t>
            </w:r>
          </w:p>
          <w:p w14:paraId="463E1E5F" w14:textId="009E5EF0" w:rsidR="002B6218" w:rsidRPr="00082425" w:rsidRDefault="002B6218" w:rsidP="00A872CD">
            <w:pPr>
              <w:spacing w:line="360" w:lineRule="auto"/>
              <w:rPr>
                <w:rFonts w:ascii="Times New Roman" w:eastAsia="宋体" w:hAnsi="Times New Roman" w:cs="Times New Roman"/>
              </w:rPr>
            </w:pPr>
          </w:p>
        </w:tc>
      </w:tr>
      <w:tr w:rsidR="004E7B66" w:rsidRPr="00082425" w14:paraId="7FB5B146" w14:textId="57B7117F" w:rsidTr="00EF2D00">
        <w:tc>
          <w:tcPr>
            <w:tcW w:w="829" w:type="dxa"/>
          </w:tcPr>
          <w:p w14:paraId="6471C18D" w14:textId="22A7B57B"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9</w:t>
            </w:r>
          </w:p>
        </w:tc>
        <w:tc>
          <w:tcPr>
            <w:tcW w:w="3355" w:type="dxa"/>
          </w:tcPr>
          <w:p w14:paraId="16E9FC90" w14:textId="77777777" w:rsidR="004E7B66" w:rsidRPr="00082425" w:rsidRDefault="004E7B66" w:rsidP="004E7B66">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大豆素</w:t>
            </w:r>
          </w:p>
          <w:p w14:paraId="7B1B1DC1" w14:textId="298AE1BA"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Daidzein</w:t>
            </w:r>
          </w:p>
        </w:tc>
        <w:tc>
          <w:tcPr>
            <w:tcW w:w="10133" w:type="dxa"/>
          </w:tcPr>
          <w:p w14:paraId="50026600" w14:textId="7777777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在抗肿瘤、抗炎、抗氧化及调节免疫系统方面具有显著的作用</w:t>
            </w:r>
          </w:p>
          <w:p w14:paraId="070FE824" w14:textId="1E607C0D" w:rsidR="004E7B66" w:rsidRPr="00082425" w:rsidRDefault="004E7B66" w:rsidP="004E7B66">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rPr>
              <w:t>首先，</w:t>
            </w:r>
            <w:r w:rsidRPr="00082425">
              <w:rPr>
                <w:rFonts w:ascii="Times New Roman" w:eastAsia="宋体" w:hAnsi="Times New Roman" w:cs="Times New Roman"/>
                <w:color w:val="000000"/>
                <w:szCs w:val="22"/>
              </w:rPr>
              <w:t>大豆素</w:t>
            </w:r>
            <w:r w:rsidRPr="00082425">
              <w:rPr>
                <w:rFonts w:ascii="Times New Roman" w:eastAsia="宋体" w:hAnsi="Times New Roman" w:cs="Times New Roman"/>
              </w:rPr>
              <w:t>在抗肿瘤方面的潜力已被多项研究证实。研究显示，</w:t>
            </w:r>
            <w:r w:rsidRPr="00082425">
              <w:rPr>
                <w:rFonts w:ascii="Times New Roman" w:eastAsia="宋体" w:hAnsi="Times New Roman" w:cs="Times New Roman"/>
                <w:color w:val="000000"/>
                <w:szCs w:val="22"/>
              </w:rPr>
              <w:t>大豆素</w:t>
            </w:r>
            <w:r w:rsidRPr="00082425">
              <w:rPr>
                <w:rFonts w:ascii="Times New Roman" w:eastAsia="宋体" w:hAnsi="Times New Roman" w:cs="Times New Roman"/>
              </w:rPr>
              <w:t>能够通过诱导细胞凋亡和细胞周期停滞来抑制卵巢癌细胞的生长，并通过抑制</w:t>
            </w:r>
            <w:r w:rsidRPr="00082425">
              <w:rPr>
                <w:rFonts w:ascii="Times New Roman" w:eastAsia="宋体" w:hAnsi="Times New Roman" w:cs="Times New Roman"/>
              </w:rPr>
              <w:t>Raf/MEK/ERK</w:t>
            </w:r>
            <w:r w:rsidRPr="00082425">
              <w:rPr>
                <w:rFonts w:ascii="Times New Roman" w:eastAsia="宋体" w:hAnsi="Times New Roman" w:cs="Times New Roman"/>
              </w:rPr>
              <w:t>信号通路来减少肿瘤的形成</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{"citationID":"jtxTpuND","properties":{"formattedCitation":"\\super [27]\\nosupersub{}","plainCitation":"[27]","noteIndex":0},"citationItems":[{"id":"MlkoMBMl/RRo1BJHl","uris":["http://zotero.org/users/8103267/items/6QXSFAKU"],"itemData":{"id":5981,"type":"article-journal","abstract":"Ovarian cancer is the main cause of gynecological cancer‑associated mortality around the world. Despite initial responses to chemotherapy, frequent relapse occurs. Daidzein is an important flavonoid and has been shown to exhibit a diversity of pharmacological properties, including antimicrobial and anticancer activities. However, information on the anticancer activity of daidzein against ovarian cancer remains limited. Therefore, the present study evaluated the anticancer activity of daidzein against a panel of human ovarian cancer cell lines and one normal ovarian cell line (Moody). The results revealed that daidzein exhibited potent anticancer activity against SKVO3 cells with a half‑maximal inhibitory concentration (IC50) of 20 µM. However, it exhibited comparatively lower activity against normal ovarian Moody cells, which had an IC50 of 100 µM. Daidzein induced morphological changes in SKOV3 cells and mitochondrial apoptosis, as evident from DAPI, AO/EB and Annexin V/propidium iodide staining. This was associated with the upregulation of B‑cell lymphoma 2‑associated X protein, cytochrome c, cleaved caspase‑3 and ‑9, and cleaved poly (ADP‑ribose) polymerase. Daidzein also triggered G2/M cell arrest through the downregulation of pCdc25c, Cdc25c, pCdc2, Cdc2 and cyclin B1. The effect of daidzein on the migration of SKOV3 cells was also determined, the results of which indicated that daidzein inhibited cell migration in a concentration‑dependent manner and was coupled with concomitant decrease in the expression of matrix metalloproteinase (MMP)‑2 and ‑9. Additionally, daidzein‑inhibited cell growth was simultaneous with suppression of the expression of phosphorylated mitogen‑activated protein kinase kinase and phosphorylated extracellular signal‑regulated kinase. The present study also examined whether daidzein exerts similar activity against SKOV3 cells in nude mouse xenograft models and it was revealed that daidzein considerably reduced the tumorigenesis in vivo, indicative of the potential for daidzein as a lead molecule in the development of ovarian cancer chemotherapy.","container-title":"International Journal of Molecular Medicine","DOI":"10.3892/ijmm.2018.3531","ISSN":"1791-244X","issue":"6","journalAbbreviation":"Int J Mol Med","language":"eng","page":"3485-3492","PMID":"29512690","source":"PubMed","title":"Daidzein exerts anticancer activity towards SKOV3 human ovarian cancer cells by inducing apoptosis and cell cycle arrest, and inhibiting the Raf/MEK/ERK cascade","volume":"41","author":[{"family":"Hua","given":"Fu"},{"family":"Li","given":"Chang-Hua"},{"family":"Chen","given":"Xiao-Gang"},{"family":"Liu","given":"Xiao-Ping"}],"issued":{"date-parts":[["2018",6]]}},"ignoreRetraction":true}],"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[27]</w:t>
            </w:r>
            <w:r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Pr="00082425">
              <w:rPr>
                <w:rFonts w:ascii="Times New Roman" w:eastAsia="宋体" w:hAnsi="Times New Roman" w:cs="Times New Roman"/>
                <w:color w:val="000000"/>
                <w:szCs w:val="22"/>
              </w:rPr>
              <w:t>大豆素</w:t>
            </w:r>
            <w:r w:rsidRPr="00082425">
              <w:rPr>
                <w:rFonts w:ascii="Times New Roman" w:eastAsia="宋体" w:hAnsi="Times New Roman" w:cs="Times New Roman"/>
              </w:rPr>
              <w:t>的代谢产物</w:t>
            </w:r>
            <w:r w:rsidRPr="00082425">
              <w:rPr>
                <w:rFonts w:ascii="Times New Roman" w:eastAsia="宋体" w:hAnsi="Times New Roman" w:cs="Times New Roman"/>
              </w:rPr>
              <w:t>Equol</w:t>
            </w:r>
            <w:r w:rsidRPr="00082425">
              <w:rPr>
                <w:rFonts w:ascii="Times New Roman" w:eastAsia="宋体" w:hAnsi="Times New Roman" w:cs="Times New Roman"/>
              </w:rPr>
              <w:t>也表现出显著的抗炎和神经保护作用，能够抑制微胶质细胞的激活，从而可能在神经退行性疾病的治疗中发挥作用</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{"citationID":"uSytN1KE","properties":{"formattedCitation":"\\super [28]\\nosupersub{}","plainCitation":"[28]","noteIndex":0},"citationItems":[{"id":5984,"uris":["http://zotero.org/users/8103267/items/4HPQ468H"],"itemData":{"id":5984,"type":"article-journal","abstract":"Estrogen deficiency has been well characterized in inflammatory disorders including neuroinflammation. Daidzein, a dietary alternative phytoestrogen found in soy (Glycine max) as primary isoflavones, possess anti-inflammatory activity, but the effect of its active metabolite Equol (7-hydroxy-3-(4'-hydroxyphenyl)-chroman) has not been well established. In this study, we investigated the anti-neuroinflammatory and neuroprotective effect of Equol in vitro. To evaluate the potential effects of Equol, three major types of central nervous system (CNS) cells, including microglia (BV-2), astrocytes (C6), and neurons (N2a), were used. Effects of Equol on the expression of inducible nitric oxide synthase (iNOS), cyclooxygenase (COX-2), Mitogen activated protein kinase (MAPK) signaling proteins, and apoptosis-related proteins were measured by western blot analysis. Equol inhibited the lipopolysaccharide (LPS)-induced TLR4 activation, MAPK activation, NF-kB-mediated transcription of inflammatory mediators, production of nitric oxide (NO), release of prostaglandin E2 (PGE-2), secretion of tumor necrosis factor-α (TNF-α) and interleukin 6 (IL-6), in Lipopolysaccharide (LPS)-activated murine microglia cells. Additionally, Equol protects neurons from neuroinflammatory injury mediated by LPS-activated microglia through downregulation of neuronal apoptosis, increased neurite outgrowth in N2a cell and neurotrophins like nerve growth factor (NGF) production through astrocytes further supporting its neuroprotective potential. These findings provide novel insight into the anti-neuroinflammatory effects of Equol on microglial cells, which may have clinical significance in cases of neurodegeneration.","container-title":"Nutrients","DOI":"10.3390/nu9030207","ISSN":"2072-6643","issue":"3","journalAbbreviation":"Nutrients","language":"eng","page":"207","PMID":"28264445","PMCID":"PMC5372870","source":"PubMed","title":"Equol, a Dietary Daidzein Gut Metabolite Attenuates Microglial Activation and Potentiates Neuroprotection In Vitro","volume":"9","author":[{"family":"Subedi","given":"Lalita"},{"family":"Ji","given":"Eunhee"},{"family":"Shin","given":"Dongyun"},{"family":"Jin","given":"Jongsik"},{"family":"Yeo","given":"Joo Hong"},{"family":"Kim","given":"Sun Yeou"}],"issued":{"date-parts":[["2017",2,27]]}}}],"schema":"https://github.com/citation-style-language/schema/raw/master/csl-citation.json"}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[28]</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08497444" w14:textId="711071F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在抗炎和抗氧化方面，大豆素通过调节肠道菌群</w:t>
            </w:r>
            <w:r w:rsidRPr="00082425">
              <w:rPr>
                <w:rFonts w:ascii="Times New Roman" w:eastAsia="宋体" w:hAnsi="Times New Roman" w:cs="Times New Roman"/>
              </w:rPr>
              <w:t>-</w:t>
            </w:r>
            <w:r w:rsidRPr="00082425">
              <w:rPr>
                <w:rFonts w:ascii="Times New Roman" w:eastAsia="宋体" w:hAnsi="Times New Roman" w:cs="Times New Roman"/>
              </w:rPr>
              <w:t>脑轴，能够缓解慢性应激诱导的抑郁样行为，并改善神经炎症和突触可塑性</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{"citationID":"xXmTWMRD","properties":{"formattedCitation":"\\super [29]\\nosupersub{}","plainCitation":"[29]","noteIndex":0},"citationItems":[{"id":5987,"uris":["http://zotero.org/users/8103267/items/X4Z75LGT"],"itemData":{"id":5987,"type":"article-journal","abstract":"BACKGROUND: Depression is one of the most serious psychological disorders worldwide. Growing evidence suggests that the gut-brain axis plays a pivotal role in its pathophysiology. Daidzein, a naturally occurring isoflavone compound, exhibits neuroprotective properties and can be metabolized by gut microbiota into highly bioactive secondary metabolites.\nPURPOSE: This study aims to evaluate the antidepressant effects of daidzein and to investigate its underlying mechanisms, particularly mediated by the gut microbiome.\nSTUDY DESIGN AND METHODS: We employed the chronic restraint stress (CRS) mice models and classic behavioral tests to investigate the therapeutic effect of daidzein. Furthermore, we used 16S rRNA sequencing and metabolomics methods to explore the regulatory effects of daidzein on key functional bacteria and metabolites after CRS exposure. Intestinal barrier function was evaluated by histopathology and FITC-dextran detection. Neuroinflammatory responses, neuronal morphology, and plasticity were also evaluated using immunofluorescence staining, western blotting, and Nissl staining. Finally, we employed an antibiotic intervention experiment to validate the pivotal role of gut microbiota in the antidepressant effect of daidzein.\nRESULTS: Our data demonstrate that daidzein administration mitigated the depression-like behaviors in CRS mice, with gut microbiota composition playing a potentially critical mediating role. Specifically, daidzein induced significant modulations in gut microbial communities (Rikenella, Enterococcus, Akkermansia, and Ruminococcus) and associated metabolic profiles, particularly affecting short-chain fatty acid biosynthesis (valeric acid and acetic acid) and bile acid metabolism (cholic acid/allocholic acid, taurine-deoxycholic acid, and 3-dehydrocholic acid). Mechanistic investigations revealed that daidzein exerted protective effects on intestinal barrier integrity while concurrently reducing pro-inflammatory cytokine levels in both serum and hippocampus. At the neurobiological level, daidzein exhibited multifaceted regulatory effects, including attenuation of glial cell activation (microglia and astrocytes), normalization of FXR/NF-κB/NLRP3 inflammasome signaling, and enhancement of BDNF/TrkB neurotrophic pathways. These molecular changes were further associated with improved neuronal morphological complexity and upregulated expression of synaptic plasticity markers (SYP and PSD95) in the hippocampus.\nCONCLUSION: These data propose a gut-brain axis-mediated mode of action for daidzein's antidepressant-like effects, highlighting its promise as a potential candidate for depression, while further investigations are required to elucidate the specific microbial and metabolic drivers of these effects.","container-title":"Phytomedicine: International Journal of Phytotherapy and Phytopharmacology","DOI":"10.1016/j.phymed.2025.157394","ISSN":"1618-095X","journalAbbreviation":"Phytomedicine","language":"eng","page":"157394","PMID":"41106100","source":"PubMed","title":"Daidzein alleviates chronic restraint stress-induced depression-like behavior by regulating neuroinflammation and synaptic plasticity via microbiota-gut-brain axis","volume":"148","author":[{"family":"Wang","given":"Haixia"},{"family":"Nie","given":"Yadan"},{"family":"Luo","given":"Yanting"},{"family":"Sun","given":"Zuoli"},{"family":"He","given":"Yi"},{"family":"Yang","given":"Jian"}],"issued":{"date-parts":[["2025",11,25]]}}}],"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[29]</w:t>
            </w:r>
            <w:r w:rsidRPr="00082425">
              <w:rPr>
                <w:rFonts w:ascii="Times New Roman" w:eastAsia="宋体" w:hAnsi="Times New Roman" w:cs="Times New Roman"/>
              </w:rPr>
              <w:fldChar w:fldCharType="end"/>
            </w:r>
            <w:r w:rsidRPr="00082425">
              <w:rPr>
                <w:rFonts w:ascii="Times New Roman" w:eastAsia="宋体" w:hAnsi="Times New Roman" w:cs="Times New Roman"/>
              </w:rPr>
              <w:t>。此外，大豆素通过促进葡萄糖转运蛋白</w:t>
            </w:r>
            <w:r w:rsidRPr="00082425">
              <w:rPr>
                <w:rFonts w:ascii="Times New Roman" w:eastAsia="宋体" w:hAnsi="Times New Roman" w:cs="Times New Roman"/>
              </w:rPr>
              <w:t>4</w:t>
            </w:r>
            <w:r w:rsidRPr="00082425">
              <w:rPr>
                <w:rFonts w:ascii="Times New Roman" w:eastAsia="宋体" w:hAnsi="Times New Roman" w:cs="Times New Roman"/>
              </w:rPr>
              <w:t>（</w:t>
            </w:r>
            <w:r w:rsidRPr="00082425">
              <w:rPr>
                <w:rFonts w:ascii="Times New Roman" w:eastAsia="宋体" w:hAnsi="Times New Roman" w:cs="Times New Roman"/>
              </w:rPr>
              <w:t>GLUT4</w:t>
            </w:r>
            <w:r w:rsidRPr="00082425">
              <w:rPr>
                <w:rFonts w:ascii="Times New Roman" w:eastAsia="宋体" w:hAnsi="Times New Roman" w:cs="Times New Roman"/>
              </w:rPr>
              <w:t>）的转位，增强葡萄糖的摄取，从而在糖尿病的管理中发挥作用</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{"citationID":"sjdrZ6Vo","properties":{"formattedCitation":"\\super [30]\\nosupersub{}","plainCitation":"[30]","noteIndex":0},"citationItems":[{"id":5989,"uris":["http://zotero.org/users/8103267/items/4VS547VU"],"itemData":{"id":5989,"type":"article-journal","abstract":"Daidzein shows estrogenic, antioxidant and antiandrogenic properties as well as cell cycle regulatory activity. However, the antihyperglycemic effect of daidzein remains to be elucidated. In this study, we investigated the in vitro effect of daidzein on glucose uptake, AMPK phosphorylation and GLUT4 translocation on plasma membrane in L6 myotubes and its in vivo antihyperglycmic effect in obese-diabetic model db/db mice. Daidzein was found to promote glucose uptake, AMPK phosphorylation and GLUT4 translocation by Western blotting analyses in L6 myotubes under a condition of insulin absence. Promotion by daidzein of glucose uptake as well as GLUT4 translocation to plasma membrane by immunocytochemistry was also demonstrated in L6 myoblasts transfected with a GLUT4 cDNA-coding vector. Daidzein (0.1% in the diet) suppressed the rises in the fasting blood glucose, serum total cholesterol levels and homeostasis model assessment index of db/db mice. In addition, daidzein supplementation markedly improved the AMPK phosphorylation in gastrocnemius muscle of db/db mice. Daidzein also suppressed increases in blood glucose levels and urinary glucose excretion in KK-Ay mice, another Type 2 diabetic animal model. These in vitro and in vivo findings suggest that daidzein is preventive for Type 2 diabetes and an antidiabetic phytochemical.","container-title":"The Journal of Nutritional Biochemistry","DOI":"10.1016/j.jnutbio.2013.09.012","ISSN":"1873-4847","issue":"2","journalAbbreviation":"J Nutr Biochem","language":"eng","page":"136-143","PMID":"24445037","source":"PubMed","title":"Daidzein promotes glucose uptake through glucose transporter 4 translocation to plasma membrane in L6 myocytes and improves glucose homeostasis in Type 2 diabetic model mice","volume":"25","author":[{"family":"Cheong","given":"Sun Hee"},{"family":"Furuhashi","given":"Keisuke"},{"family":"Ito","given":"Katsuki"},{"family":"Nagaoka","given":"Masato"},{"family":"Yonezawa","given":"Takayuki"},{"family":"Miura","given":"Yutaka"},{"family":"Yagasaki","given":"Kazumi"}],"issued":{"date-parts":[["2014",2]]}}}],"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[30]</w:t>
            </w:r>
            <w:r w:rsidRPr="00082425">
              <w:rPr>
                <w:rFonts w:ascii="Times New Roman" w:eastAsia="宋体" w:hAnsi="Times New Roman" w:cs="Times New Roman"/>
              </w:rPr>
              <w:fldChar w:fldCharType="end"/>
            </w:r>
            <w:r w:rsidRPr="00082425">
              <w:rPr>
                <w:rFonts w:ascii="Times New Roman" w:eastAsia="宋体" w:hAnsi="Times New Roman" w:cs="Times New Roman"/>
              </w:rPr>
              <w:t>。研究还发现，大豆素能够通过抑制</w:t>
            </w:r>
            <w:r w:rsidRPr="00082425">
              <w:rPr>
                <w:rFonts w:ascii="Times New Roman" w:eastAsia="宋体" w:hAnsi="Times New Roman" w:cs="Times New Roman"/>
              </w:rPr>
              <w:t>5-</w:t>
            </w:r>
            <w:r w:rsidRPr="00082425">
              <w:rPr>
                <w:rFonts w:ascii="Times New Roman" w:eastAsia="宋体" w:hAnsi="Times New Roman" w:cs="Times New Roman"/>
              </w:rPr>
              <w:t>脂氧合酶和</w:t>
            </w:r>
            <w:proofErr w:type="gramStart"/>
            <w:r w:rsidRPr="00082425">
              <w:rPr>
                <w:rFonts w:ascii="Times New Roman" w:eastAsia="宋体" w:hAnsi="Times New Roman" w:cs="Times New Roman"/>
              </w:rPr>
              <w:t>髓过氧化物酶</w:t>
            </w:r>
            <w:proofErr w:type="gramEnd"/>
            <w:r w:rsidRPr="00082425">
              <w:rPr>
                <w:rFonts w:ascii="Times New Roman" w:eastAsia="宋体" w:hAnsi="Times New Roman" w:cs="Times New Roman"/>
              </w:rPr>
              <w:t>的活性，发挥其抗氧化作用</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{"citationID":"6JeCAJmd","properties":{"formattedCitation":"\\super [31]\\nosupersub{}","plainCitation":"[31]","noteIndex":0},"citationItems":[{"id":5991,"uris":["http://zotero.org/users/8103267/items/UXMBLNU3"],"itemData":{"id":5991,"type":"article-journal","abstract":"The effects of bioavailability and metabolic transformation on the biological activities of daidzein are relatively unknown. The effects of daidzein, dihydrodaidzein, and equol at physiologically relevant concentrations on the production of leukotriene B4 and F2-isoprostanes, and myeloperoxidase enzyme activity in freshly isolated human neutrophils were examined. Equol, at physiological concentrations, inhibited leukotriene B4 production (IC50-200 nmol/L) in human neutrophils significantly more than daidzein and dihydrodaidzein (IC50 values &gt;1000 nmol/L). Daidzein, dihydrodaidzein, and equol did not affect the enzymatic hydrolysis of leukotriene A4 to leukotriene B4, suggesting that they exerted their inhibitory effects on the 5-lipoxygenase activity. Daidzein (IC50 = 600 nmol/L) protected against free radical peroxidation of arachidonic acid significantly more than did equol and dihydrodaidzein (IC50 values &gt;1000 nmol/L). Equol also showed significantly greater inhibition of myeloperoxidase activity (IC50 = 450 nmol/L) when compared to daidzein and dihydrodaidzein. Equol accumulated within the human neutrophils at significantly higher concentrations than daidzein and dihydrodaidzein after incubation with the three compounds at physiologically relevant concentrations. Neutrophils were able to accumulate intracellular daidzein, dihydrodaidzein, and equol up to a concentration of </w:instrText>
            </w:r>
            <w:r w:rsidR="009E53C2" w:rsidRPr="00082425">
              <w:rPr>
                <w:rFonts w:ascii="Cambria Math" w:eastAsia="宋体" w:hAnsi="Cambria Math" w:cs="Cambria Math"/>
              </w:rPr>
              <w:instrText>∼</w:instrText>
            </w:r>
            <w:r w:rsidR="009E53C2" w:rsidRPr="00082425">
              <w:rPr>
                <w:rFonts w:ascii="Times New Roman" w:eastAsia="宋体" w:hAnsi="Times New Roman" w:cs="Times New Roman"/>
              </w:rPr>
              <w:instrText xml:space="preserve">600 nmol/L. Our results provide in vitro evidence that the biological activities of daidzein are profoundly influenced by bioavailability and metabolic transformation.","container-title":"Journal of Medicinal Food","DOI":"10.1089/jmf.2015.3557","ISSN":"1557-7600","issue":"6","journalAbbreviation":"J Med Food","language":"eng","page":"543-548","PMID":"27027338","source":"PubMed","title":"Relative Inhibitions of 5-Lipoxygenase and Myeloperoxidase and Free-Radical Scavenging Activities of Daidzein, Dihydrodaidzein, and Equol","volume":"19","author":[{"family":"Tsen","given":"Shin Yih"},{"family":"Tan","given":"Xin Yi"},{"family":"Tan","given":"Yin Mei"},{"family":"Yan","given":"Bao Yi"},{"family":"Loke","given":"Wai Mun"}],"issued":{"date-parts":[["2016",6]]}}}],"schema":"https://github.com/citation-style-language/schema/raw/master/csl-citation.json"}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[31]</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04FDF740" w14:textId="3FE8997B"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在免疫调节方面，大豆素能够通过抑制树突状细胞的成熟和功能，表现出免疫抑制活性</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{"citationID":"DeIg8WxY","properties":{"formattedCitation":"\\super [32]\\nosupersub{}","plainCitation":"[32]","noteIndex":0},"citationItems":[{"id":5993,"uris":["http://zotero.org/users/8103267/items/JP6Y6N47"],"itemData":{"id":5993,"type":"article-journal","abstract":"Isoflavones are ubiquitous compounds in foods and in the environment in general. Daidzein and genistein, the best known of isoflavones, are structurally similar to 17β-estradiol and known to exert estrogenic effects. They also evidence a broad variety of biological properties, including antioxidant, anti-carcinogenic, anti-atherogenic and anti-osteoporotic activities. Previously, daidzein was reported to increase the phagocytic activity of peritoneal macrophages and splenocyte proliferation, and to inhibit nitric oxide (NO) production in macrophages. However, its potential impacts on immune response in dendritic cells (DCs), antigen-presenting cells that link innate and adaptive immunity, have yet to be clearly elucidated. In this study, we evaluated the effects of isoflavones on the maturation and activation of DCs. Isoflavones (formononetin, daidzein, equol, biochanin A, genistein) were found to differentially affect the expression of CD86, a costimulatory molecule, on lipopolysaccharide (LPS)-stimulated DCs. In particular, daidzein significantly and dose-dependently inhibited the expression levels of maturation-associated cell surface markers including CD40, costimulatory molecules (CD80, CD86), and major histocompatibility complex class II (I-A(b)) molecule on LPS-stimulated DCs. Daidzein also suppressed pro-inflammatory cytokine production such as IL-12p40, IL-6 and TNF-α, whereas it didn't affect IL-10 and IL-1β expression. Furthermore, daidzein enhanced endocytosis and inhibited the allo-stimulatory ability of LPS-stimulated DCs on T cells, indicating that daidzein treatment can inhibit the functional maturation of DCs. These results demonstrate that daidzein may exhibit immunosuppressive activity by inhibiting the maturation and activation of DCs.","container-title":"Toxicology and Applied Pharmacology","DOI":"10.1016/j.taap.2011.09.002","ISSN":"1096-0333","issue":"2","journalAbbreviation":"Toxicol Appl Pharmacol","language":"eng","page":"174-181","PMID":"21945492","source":"PubMed","title":"Suppression of dendritic cells' maturation and functions by daidzein, a phytoestrogen","volume":"257","author":[{"family":"Yum","given":"Min Kyu"},{"family":"Jung","given":"Mi Young"},{"family":"Cho","given":"Daeho"},{"family":"Kim","given":"Tae Sung"}],"issued":{"date-parts":[["2011",12,1]]}}}],"schema":"https://github.com/citation-style-language/schema/raw/master/csl-citation.json"}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[32]</w:t>
            </w:r>
            <w:r w:rsidRPr="00082425">
              <w:rPr>
                <w:rFonts w:ascii="Times New Roman" w:eastAsia="宋体" w:hAnsi="Times New Roman" w:cs="Times New Roman"/>
              </w:rPr>
              <w:fldChar w:fldCharType="end"/>
            </w:r>
            <w:r w:rsidRPr="00082425">
              <w:rPr>
                <w:rFonts w:ascii="Times New Roman" w:eastAsia="宋体" w:hAnsi="Times New Roman" w:cs="Times New Roman"/>
              </w:rPr>
              <w:t>。此外，大豆素还能够通过调节</w:t>
            </w:r>
            <w:r w:rsidRPr="00082425">
              <w:rPr>
                <w:rFonts w:ascii="Times New Roman" w:eastAsia="宋体" w:hAnsi="Times New Roman" w:cs="Times New Roman"/>
              </w:rPr>
              <w:t>TGF-</w:t>
            </w:r>
            <w:r w:rsidRPr="00082425">
              <w:rPr>
                <w:rFonts w:ascii="Times New Roman" w:eastAsia="宋体" w:hAnsi="Times New Roman" w:cs="Times New Roman"/>
                <w:i/>
                <w:iCs/>
              </w:rPr>
              <w:t>β</w:t>
            </w:r>
            <w:r w:rsidRPr="00082425">
              <w:rPr>
                <w:rFonts w:ascii="Times New Roman" w:eastAsia="宋体" w:hAnsi="Times New Roman" w:cs="Times New Roman"/>
              </w:rPr>
              <w:t>1</w:t>
            </w:r>
            <w:r w:rsidRPr="00082425">
              <w:rPr>
                <w:rFonts w:ascii="Times New Roman" w:eastAsia="宋体" w:hAnsi="Times New Roman" w:cs="Times New Roman"/>
              </w:rPr>
              <w:t>、</w:t>
            </w:r>
            <w:r w:rsidRPr="00082425">
              <w:rPr>
                <w:rFonts w:ascii="Times New Roman" w:eastAsia="宋体" w:hAnsi="Times New Roman" w:cs="Times New Roman"/>
              </w:rPr>
              <w:t>PI3K/PIP3/Akt</w:t>
            </w:r>
            <w:r w:rsidRPr="00082425">
              <w:rPr>
                <w:rFonts w:ascii="Times New Roman" w:eastAsia="宋体" w:hAnsi="Times New Roman" w:cs="Times New Roman"/>
              </w:rPr>
              <w:t>、</w:t>
            </w:r>
            <w:r w:rsidRPr="00082425">
              <w:rPr>
                <w:rFonts w:ascii="Times New Roman" w:eastAsia="宋体" w:hAnsi="Times New Roman" w:cs="Times New Roman"/>
              </w:rPr>
              <w:t>Nrf-2/Keap-1</w:t>
            </w:r>
            <w:r w:rsidRPr="00082425">
              <w:rPr>
                <w:rFonts w:ascii="Times New Roman" w:eastAsia="宋体" w:hAnsi="Times New Roman" w:cs="Times New Roman"/>
              </w:rPr>
              <w:t>和</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信号通路，缓解由杀虫剂引起的肝损伤</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{"citationID":"O2v8JvqY","properties":{"formattedCitation":"\\super [33]\\nosupersub{}","plainCitation":"[33]","noteIndex":0},"citationItems":[{"id":5995,"uris":["http://zotero.org/users/8103267/items/NBIHWDI2"],"itemData":{"id":5995,"type":"article-journal","abstract":"Bifenthrin (BFN) is a noxious insecticide which is reported to damage various body organs. Daidzein (DZN) is a natural flavone with excellent pharmacological properties. This research was conducted to evaluate the alleviative strength of DZN to counteract BFN prompted liver toxicity in male albino rats. Thirty-two rats were divided into 4 groups i.e., the control, BFN (7 mg /kg), BFN (7 mg/kg) + DZN (20 mg/kg) and DZN (20 mg/kg) alone group. The biochemical assessment was performed by using qRT PCR as well as standard ELISA protocols. The findings are validated by applying pharmacodynamic techniques including molecular simulation. It was observed that BFN reduced the gene expressions of phosphoinositide 3-kinase (PI3K), phosphatidylinositol-3, 4, 5-triphosphate (PIP3), Protein kinase B (Akt), nuclear factor erythroid 2-related factor 2 (Nrf-2) while promoting the gene expressions of Kelch-like ECH-associated protein 1 (Keap-1). Moreover, BFN notably reduced the activities of glutathione reductase (GSR), heme-oxygenase-1 (HO-1), glutathione peroxidase (GPx), superoxide dismutase (SOD), and catalase (CAT) while elevating the levels of reactive oxygen species (ROS) and malondialdehyde (MDA). BFN promoted the levels of matrix metallopeptidase 2 (MMP-2), Procollagen III N-terminal Pro-peptide (PIIINP), alkaline phosphatase (ALP), transforming growth factor-beta-1 (TGF-β1), aspartate aminotransferase (AST), tissue inhibitor of matrix metalloproteinases 1 (TIMP1), and alanine aminotransferase (ALT). The levels of nuclear factor- kappa B (NF-κB), interleukin-1 beta (IL-1β), tumor necrosis factor-alpha (TNF-α), interleukin-6 (IL-6) and cyclooxygenase-2 (COX-2) were increased following the BFN intoxication. BFN enhanced the expressions of cysteine-aspartic acid protease-3 (Caspase-3) and Bcl-2-associated X protein (Bax) while suppressing the gene expression of B-cell lymphoma-2 (Bcl-2). Moreover, BFN disrupted the normal histology of liver tissues. Nonetheless, DZN treatment remarkably alleviated hepatic damages owing to its antioxidative, anti-apoptotic as well as anti-inflammatory abilities. However, DZN supplementation remarkably safeguarded which is further confirmed by in-silico assessment.","container-title":"Tissue &amp; Cell","DOI":"10.1016/j.tice.2025.102733","ISSN":"1532-3072","journalAbbreviation":"Tissue Cell","language":"eng","page":"102733","PMID":"39842227","source":"PubMed","title":"Regulation of TGF-β1, PI3K/PIP3/Akt, Nrf-2/Keap-1 and NF-κB signaling pathways to avert bifenthrin induced hepatic injury: A palliative role of daidzein","title-short":"Regulation of TGF-β1, PI3K/PIP3/Akt, Nrf-2/Keap-1 and NF-κB signaling pathways to avert bifenthrin induced hepatic injury","volume":"93","author":[{"family":"El Safadi","given":"Mahmoud"},{"family":"Shah","given":"Tawaf Ali"},{"family":"Zahara","given":"Syeda Sania"},{"family":"Bin Jardan","given":"Yousef A."},{"family":"Bourhia","given":"Mohammed"}],"issued":{"date-parts":[["2025",4]]}}}],"schema":"https://github.com/citation-style-language/schema/raw/master/csl-citation.json"}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[33]</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1E02FB9D" w14:textId="2C1208A8"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lastRenderedPageBreak/>
              <w:t>尽管大豆素具有多种生物活性，其生物利用度和代谢仍然是影响其疗效的关键因素。通过纳米技术和配方策略的进步，可以提高大豆素的生物利用度和治疗应用</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{"citationID":"rLJMlf90","properties":{"formattedCitation":"\\super [34]\\nosupersub{}","plainCitation":"[34]","noteIndex":0},"citationItems":[{"id":5997,"uris":["http://zotero.org/users/8103267/items/YAMWLSBD"],"itemData":{"id":5997,"type":"article-journal","abstract":"Daidzein, a soy-derived isoflavone, has gained significant attention due to its diverse pharmacological properties, including antioxidant, anti-inflammatory, and estrogenic activities. This review synthesizes current research on daidzein's biological effects, focusing on its role in chronic diseases, such as cancer, osteoporosis, cardiovascular disorders, and neurodegenerative conditions. Mechanistically, daidzein exerts its effects through estrogen receptor modulation, activation of antioxidant pathways, and regulation of inflammatory mediators. Studies have demonstrated its potential in inhibiting cancer cell proliferation, improving bone mineral density, and reducing oxidative stress in cardiovascular diseases. Furthermore, daidzein's neuroprotective effects suggest promise in managing neurodegenerative disorders like Alzheimer's and Parkinson's disease. Despite its therapeutic potential, the bioavailability and metabolism of daidzein remain critical challenges, with interindividual variability influencing its efficacy. Advances in nanotechnology and formulation strategies aim to enhance its bioavailability and therapeutic applications. This review underscores the need for well-designed clinical trials to validate daidzein's efficacy and safety across different populations. Future research should also explore synergistic effects with other bioactive compounds to maximize its clinical utility.","container-title":"Inflammopharmacology","DOI":"10.1007/s10787-025-01891-y","ISSN":"1568-5608","issue":"9","journalAbbreviation":"Inflammopharmacology","language":"eng","page":"5145-5171","PMID":"40836166","source":"PubMed","title":"Pharmacotherapeutic potential of daidzein: insights into mechanisms and clinical relevance","title-short":"Pharmacotherapeutic potential of daidzein","volume":"33","author":[{"family":"Praisthy Lj","given":"Chinchu"},{"family":"Kushwah","given":"Ravi"},{"family":"Dubey","given":"Sachin"},{"family":"Kumar","given":"Vipin"},{"family":"Jain","given":"Smita"}],"issued":{"date-parts":[["2025",9]]}}}],"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[34]</w:t>
            </w:r>
            <w:r w:rsidRPr="00082425">
              <w:rPr>
                <w:rFonts w:ascii="Times New Roman" w:eastAsia="宋体" w:hAnsi="Times New Roman" w:cs="Times New Roman"/>
              </w:rPr>
              <w:fldChar w:fldCharType="end"/>
            </w:r>
            <w:r w:rsidRPr="00082425">
              <w:rPr>
                <w:rFonts w:ascii="Times New Roman" w:eastAsia="宋体" w:hAnsi="Times New Roman" w:cs="Times New Roman"/>
              </w:rPr>
              <w:t>。例如，通过与哌嗪形成共晶体，大豆素的溶解度、渗透性和生物利用度得到了显著提高</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{"citationID":"59yoaDdV","properties":{"formattedCitation":"\\super [35]\\nosupersub{}","plainCitation":"[35]","noteIndex":0},"citationItems":[{"id":5999,"uris":["http://zotero.org/users/8103267/items/6MVNF7U8"],"itemData":{"id":5999,"type":"article-journal","abstract":"It is well known that daidzein has various significant medicinal values and health benefits, such as anti-oxidant, anti-inflammatory, anti-cancer, anti-diabetic, cholesterol lowering, neuroprotective, cardioprotective and so on. To our disappointment, poor solubility, low permeability and inferior bioavailability seriously limit its clinical application and market development. To optimize the solubility, permeability and bioavailability of daidzein, the cocrystal of daidzein and piperazine was prepared through a scientific and reasonable design, which was thoroughly characterized by single-crystal X-ray diffraction, powder X-ray diffraction, Fourier transform infrared spectroscopy, differential scanning calorimetry and thermogravimetric analysis. Combining single-crystal X-ray diffraction analysis with theoretical calculation, detailed structural information on the cocrystal was clarified and validated. In addition, a series of evaluations on the pharmacogenetic properties of the cocrystal were investigated. The results indicated that the cocrystal of daidzein and piperazine possessed the favorable stability, increased solubility, improved permeability and optimized bioavailability of daidzein. Compared with the parent drug, the formation of cocrystal, respectively, resulted in 3.9-, 3.1-, 4.9- and 60.8-fold enhancement in the solubility in four different media, 4.8-fold elevation in the permeability and 3.2-fold in the bioavailability of daidzein. Targeting the pharmaceutical defects of daidzein, the surprising elevation in the solubility, permeability and bioavailability of daidzein was realized by a clever cocrystal strategy, which not only devoted assistance to the market development and clinical application of daidzein but also paved a new path to address the drug-forming defects of insoluble drugs.","container-title":"Molecules","DOI":"10.3390/molecules29081710","ISSN":"1420-3049","issue":"8","journalAbbreviation":"Molecules","language":"eng","page":"1710","PMID":"38675529","PMCID":"PMC11052268","publisher-place":"Basel, Switzerland","source":"PubMed","title":"A Novel Cocrystal of Daidzein with Piperazine to Optimize the Solubility, Permeability and Bioavailability of Daidzein","volume":"29","author":[{"family":"Wang","given":"Zhipeng"},{"family":"Li","given":"Shuang"},{"family":"Li","given":"Qi"},{"family":"Wang","given":"Wenwen"},{"family":"Liu","given":"Meiru"},{"family":"Yang","given":"Shiying"},{"family":"Zhang","given":"Li"},{"family":"Yang","given":"Dezhi"},{"family":"Du","given":"Guanhua"},{"family":"Lu","given":"Yang"}],"issued":{"date-parts":[["2024",4,10]]}}}],"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[35]</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737B73B3" w14:textId="7777777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综上所述，大豆素作为一种具有广泛治疗潜力的天然产物，在癌症、糖尿病、神经退行性疾病等多种慢性疾病的管理中显示出良好的前景。然而，仍需进一步的临床试验来验证其在不同人群中的疗效和安全性，并探索与其他生物活性化合物的协同作用，以最大化其临床应用价值。</w:t>
            </w:r>
          </w:p>
          <w:p w14:paraId="5A5165A8" w14:textId="614104F8" w:rsidR="004E7B66" w:rsidRPr="00082425" w:rsidRDefault="004E7B66" w:rsidP="004E7B66">
            <w:pPr>
              <w:spacing w:line="360" w:lineRule="auto"/>
              <w:rPr>
                <w:rFonts w:ascii="Times New Roman" w:eastAsia="宋体" w:hAnsi="Times New Roman" w:cs="Times New Roman"/>
                <w:lang w:val="pt-BR"/>
              </w:rPr>
            </w:pPr>
          </w:p>
        </w:tc>
      </w:tr>
      <w:tr w:rsidR="00E95036" w:rsidRPr="00082425" w14:paraId="70FEA837" w14:textId="66903D54" w:rsidTr="00EF2D00">
        <w:tc>
          <w:tcPr>
            <w:tcW w:w="829" w:type="dxa"/>
          </w:tcPr>
          <w:p w14:paraId="720A6FC7" w14:textId="30093D0D"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1</w:t>
            </w:r>
            <w:r w:rsidR="00AB2BCE" w:rsidRPr="00082425">
              <w:rPr>
                <w:rFonts w:ascii="Times New Roman" w:eastAsia="宋体" w:hAnsi="Times New Roman" w:cs="Times New Roman"/>
                <w:lang w:val="pt-BR"/>
              </w:rPr>
              <w:t>0</w:t>
            </w:r>
          </w:p>
        </w:tc>
        <w:tc>
          <w:tcPr>
            <w:tcW w:w="3355" w:type="dxa"/>
          </w:tcPr>
          <w:p w14:paraId="7D2F9B14" w14:textId="1EF522E4" w:rsidR="00E95036" w:rsidRPr="00082425" w:rsidRDefault="00E95036" w:rsidP="00A872CD">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染料木素</w:t>
            </w:r>
          </w:p>
          <w:p w14:paraId="156F1131" w14:textId="265D3A17"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color w:val="000000"/>
                <w:szCs w:val="22"/>
                <w:lang w:val="pt-BR"/>
              </w:rPr>
              <w:t>Genistein</w:t>
            </w:r>
          </w:p>
        </w:tc>
        <w:tc>
          <w:tcPr>
            <w:tcW w:w="10133" w:type="dxa"/>
          </w:tcPr>
          <w:p w14:paraId="58140868" w14:textId="3567D6FA"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rPr>
              <w:t>其生物活性包括在</w:t>
            </w:r>
            <w:r w:rsidR="00FE0C39" w:rsidRPr="00082425">
              <w:rPr>
                <w:rFonts w:ascii="Times New Roman" w:eastAsia="宋体" w:hAnsi="Times New Roman" w:cs="Times New Roman"/>
              </w:rPr>
              <w:t>抗肿瘤</w:t>
            </w:r>
            <w:r w:rsidR="00980AA0" w:rsidRPr="00082425">
              <w:rPr>
                <w:rFonts w:ascii="Times New Roman" w:eastAsia="宋体" w:hAnsi="Times New Roman" w:cs="Times New Roman"/>
              </w:rPr>
              <w:t>、抗氧化、抗炎</w:t>
            </w:r>
            <w:r w:rsidRPr="00082425">
              <w:rPr>
                <w:rFonts w:ascii="Times New Roman" w:eastAsia="宋体" w:hAnsi="Times New Roman" w:cs="Times New Roman"/>
              </w:rPr>
              <w:t>等多种作用</w:t>
            </w:r>
            <w:r w:rsidR="001829EB" w:rsidRPr="00082425">
              <w:rPr>
                <w:rFonts w:ascii="Times New Roman" w:eastAsia="宋体" w:hAnsi="Times New Roman" w:cs="Times New Roman"/>
              </w:rPr>
              <w:t>。</w:t>
            </w:r>
          </w:p>
          <w:p w14:paraId="066501F2" w14:textId="491A4B91" w:rsidR="00980AA0" w:rsidRPr="00082425" w:rsidRDefault="00980AA0" w:rsidP="00980AA0">
            <w:pPr>
              <w:spacing w:line="360" w:lineRule="auto"/>
              <w:rPr>
                <w:rFonts w:ascii="Times New Roman" w:eastAsia="宋体" w:hAnsi="Times New Roman" w:cs="Times New Roman"/>
              </w:rPr>
            </w:pPr>
            <w:r w:rsidRPr="00082425">
              <w:rPr>
                <w:rFonts w:ascii="Times New Roman" w:eastAsia="宋体" w:hAnsi="Times New Roman" w:cs="Times New Roman"/>
              </w:rPr>
              <w:t>首先，</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通过诱导细胞凋亡和抑制细胞增殖来发挥其</w:t>
            </w:r>
            <w:r w:rsidR="00FE0C39" w:rsidRPr="00082425">
              <w:rPr>
                <w:rFonts w:ascii="Times New Roman" w:eastAsia="宋体" w:hAnsi="Times New Roman" w:cs="Times New Roman"/>
              </w:rPr>
              <w:t>抗肿瘤</w:t>
            </w:r>
            <w:r w:rsidRPr="00082425">
              <w:rPr>
                <w:rFonts w:ascii="Times New Roman" w:eastAsia="宋体" w:hAnsi="Times New Roman" w:cs="Times New Roman"/>
              </w:rPr>
              <w:t>作用。在人类白血病</w:t>
            </w:r>
            <w:r w:rsidRPr="00082425">
              <w:rPr>
                <w:rFonts w:ascii="Times New Roman" w:eastAsia="宋体" w:hAnsi="Times New Roman" w:cs="Times New Roman"/>
              </w:rPr>
              <w:t>HL-60</w:t>
            </w:r>
            <w:r w:rsidRPr="00082425">
              <w:rPr>
                <w:rFonts w:ascii="Times New Roman" w:eastAsia="宋体" w:hAnsi="Times New Roman" w:cs="Times New Roman"/>
              </w:rPr>
              <w:t>细胞中，</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通过诱导</w:t>
            </w:r>
            <w:r w:rsidRPr="00082425">
              <w:rPr>
                <w:rFonts w:ascii="Times New Roman" w:eastAsia="宋体" w:hAnsi="Times New Roman" w:cs="Times New Roman"/>
              </w:rPr>
              <w:t>G2/M</w:t>
            </w:r>
            <w:r w:rsidRPr="00082425">
              <w:rPr>
                <w:rFonts w:ascii="Times New Roman" w:eastAsia="宋体" w:hAnsi="Times New Roman" w:cs="Times New Roman"/>
              </w:rPr>
              <w:t>期细胞周期阻滞和</w:t>
            </w:r>
            <w:r w:rsidRPr="00082425">
              <w:rPr>
                <w:rFonts w:ascii="Times New Roman" w:eastAsia="宋体" w:hAnsi="Times New Roman" w:cs="Times New Roman"/>
              </w:rPr>
              <w:t>DNA</w:t>
            </w:r>
            <w:r w:rsidRPr="00082425">
              <w:rPr>
                <w:rFonts w:ascii="Times New Roman" w:eastAsia="宋体" w:hAnsi="Times New Roman" w:cs="Times New Roman"/>
              </w:rPr>
              <w:t>损伤来减少细胞数量，并通过内质网应激和线粒体依赖途径诱导细胞凋亡</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{"citationID":"91VHSG7F","properties":{"formattedCitation":"\\super [36]\\nosupersub{}","plainCitation":"[36]","noteIndex":0},"citationItems":[{"id":6057,"uris":["http://zotero.org/users/8103267/items/TQKERATE"],"itemData":{"id":6057,"type":"article-journal","abstract":"Genistein, a major isoflavone compound in soybeans, has been shown to have biological activities including anti-cancer activates. In the present, we investigated the anti-leukemia activity of genistein on HL-60 cells in vitro. The percentage of viable cell, cell cycle distribution, apoptotic cell death, reactive oxygen species (ROS), and Ca2+ production and the level of ΔΨm were measured by flow cytometric assay. Cell apoptosis and endoplasmic reticulum (ER) stress associated protein expressions were examined by Western blotting assay. Calpain 1, GRP78, and GADD153 expression were measured by confocal laser microscopy. Results indicated that genistein-induced cell morphological changes, decreased the total viable cells, induced G2 /M phase arrest and DNA damage and fragmentation (cell apoptosis) in HL-60 cells. Genistein promoted ROS and Ca2+ productions and decreased the level of ΔΨm in HL-60 cells. Western blotting assay demonstrated that genistein increased ER stress-associated protein expression such as IRE-1α, Calpain 1, GRP78, GADD153, caspase-7, caspase-4, and ATF-6α at 20-50 μM treatment and increased apoptosis associated protein expression such as pro-apoptotic protein Bax, PARP-cleavage, caspase-9, and -3, but decreased anti-apoptotic protein such as Bcl-2 and Bid in HL-60 cells. Calpain 1, GRP78, and GADD153 were increased in HL-60 cells after exposure to 40 μM of genistein. In animal xenografted model, mice were intraperitoneally injected with genistein (0, 0.2, and 0.4 mg/kg) for 28 days and the body weight and tumor volume were recorded. Results showed that genistein did not affect the body weights but significantly reduced the tumor weight in 0.4 mg/kg genistein-treated group. Genistein also increased the expressions of ATF-6α, GRP78, Bax, Bad, and Bak in tumor. In conclusion, genistein decreased cell number through G2 /M phase arrest and the induction of cell apoptosis through ER stress- and mitochondria-dependent pathways in HL-60 cells and suppressed tumor properties in vivo.","container-title":"Environmental Toxicology","DOI":"10.1002/tox.22698","ISSN":"1522-7278","issue":"4","journalAbbreviation":"Environ Toxicol","language":"eng","page":"443-456","PMID":"30618158","source":"PubMed","title":"Genistein induces apoptosis in vitro and has antitumor activity against human leukemia HL-60 cancer cell xenograft growth in vivo","volume":"34","author":[{"family":"Hsiao","given":"Yin-Chen"},{"family":"Peng","given":"Shu-Fen"},{"family":"Lai","given":"Kuang-Chi"},{"family":"Liao","given":"Ching-Lung"},{"family":"Huang","given":"Yi-Ping"},{"family":"Lin","given":"Chin-Chung"},{"family":"Lin","given":"Meng-Liang"},{"family":"Liu","given":"Kuo-Ching"},{"family":"Tsai","given":"Chin-Chuan"},{"family":"Ma","given":"Yi-Shih"},{"family":"Chung","given":"Jing-Gung"}],"issued":{"date-parts":[["2019",4]]}}}],"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[36]</w:t>
            </w:r>
            <w:r w:rsidR="00D24275"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还通过下调</w:t>
            </w:r>
            <w:r w:rsidRPr="00082425">
              <w:rPr>
                <w:rFonts w:ascii="Times New Roman" w:eastAsia="宋体" w:hAnsi="Times New Roman" w:cs="Times New Roman"/>
              </w:rPr>
              <w:t>IGF-1R/PI3K/Akt</w:t>
            </w:r>
            <w:r w:rsidRPr="00082425">
              <w:rPr>
                <w:rFonts w:ascii="Times New Roman" w:eastAsia="宋体" w:hAnsi="Times New Roman" w:cs="Times New Roman"/>
              </w:rPr>
              <w:t>信号通路来抑制</w:t>
            </w:r>
            <w:r w:rsidRPr="00082425">
              <w:rPr>
                <w:rFonts w:ascii="Times New Roman" w:eastAsia="宋体" w:hAnsi="Times New Roman" w:cs="Times New Roman"/>
              </w:rPr>
              <w:t>MCF-7</w:t>
            </w:r>
            <w:r w:rsidRPr="00082425">
              <w:rPr>
                <w:rFonts w:ascii="Times New Roman" w:eastAsia="宋体" w:hAnsi="Times New Roman" w:cs="Times New Roman"/>
              </w:rPr>
              <w:t>人乳腺癌细胞的增殖</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{"citationID":"Srg3OnMC","properties":{"formattedCitation":"\\super [37]\\nosupersub{}","plainCitation":"[37]","noteIndex":0},"citationItems":[{"id":6059,"uris":["http://zotero.org/users/8103267/items/DEMRYKUE"],"itemData":{"id":6059,"type":"article-journal","abstract":"Genistein is an estrogenic soy-derived compound belonging to the isoflavone class and shows anti-cancer effects. However, the specific cell apoptosis mechanisms of genistein have not been fully understood. In this study, we investigated the specific cell apoptosis mechanisms of genistein and the potential involvement of the IGF1R-Akt-Bcl-2 and Bax-mediated pathways in human breast cancer cells in vitro. MCF-7 human breast cancer cells were treated with various concentrations of genistein, and cell proliferation was evaluated by the MTT assay. Morphological changes in treated cells were examined by Hoechst 33258 staining, and treated cells were examined by flow cytometry. The levels of IGF-1R, p-Akt, Bcl-2, and Bax protein expression and Bcl-2 and Bax mRNA expression were evaluated by western blot and RT-PCR, respectively. Genistein inhibited the proliferation of MCF-7 cells and induced cell apoptosis, as determined by Hoechst staining and flow cytometry analysis. Furthermore, genistein induced the inactivation of IGF-1R and p-Akt and downregulated the Bcl-2/Bax protein ratio. These results suggest that genistein inhibited cell proliferation by inactivating the IGF-1R-PI3 K/Akt pathway and decreasing the Bcl-2/Bax mRNA and protein expressions. Our findings help elucidate the mechanisms by which genistein may contribute to the prevention of breast cancer carcinogenesis.","container-title":"Food &amp; Function","DOI":"10.1039/c4fo01141d","ISSN":"2042-650X","issue":"3","journalAbbreviation":"Food Funct","language":"eng","page":"995-1000","PMID":"25675448","source":"PubMed","title":"Genistein induces apoptosis by the inactivation of the IGF-1R/p-Akt signaling pathway in MCF-7 human breast cancer cells","volume":"6","author":[{"family":"Chen","given":"Jun"},{"family":"Duan","given":"Yuxin"},{"family":"Zhang","given":"Xing"},{"family":"Ye","given":"Yu"},{"family":"Ge","given":"Bo"},{"family":"Chen","given":"Jian"}],"issued":{"date-parts":[["2015",3]]}}}],"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[37]</w:t>
            </w:r>
            <w:r w:rsidR="00D24275"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6C08519D" w14:textId="4FD392CA" w:rsidR="00980AA0" w:rsidRPr="00082425" w:rsidRDefault="00E82300" w:rsidP="00980AA0">
            <w:pPr>
              <w:spacing w:line="360" w:lineRule="auto"/>
              <w:rPr>
                <w:rFonts w:ascii="Times New Roman" w:eastAsia="宋体" w:hAnsi="Times New Roman" w:cs="Times New Roman"/>
              </w:rPr>
            </w:pPr>
            <w:r w:rsidRPr="00082425">
              <w:rPr>
                <w:rFonts w:ascii="Times New Roman" w:eastAsia="宋体" w:hAnsi="Times New Roman" w:cs="Times New Roman"/>
                <w:color w:val="000000"/>
                <w:szCs w:val="22"/>
              </w:rPr>
              <w:t>染料木素</w:t>
            </w:r>
            <w:r w:rsidR="00980AA0" w:rsidRPr="00082425">
              <w:rPr>
                <w:rFonts w:ascii="Times New Roman" w:eastAsia="宋体" w:hAnsi="Times New Roman" w:cs="Times New Roman"/>
              </w:rPr>
              <w:t>的抗氧化作用也得到了广泛研究。它通过增强抗氧化酶的活性来保护细胞免受氧化应激的损伤。例如，在卵巢颗粒细胞中，</w:t>
            </w:r>
            <w:r w:rsidRPr="00082425">
              <w:rPr>
                <w:rFonts w:ascii="Times New Roman" w:eastAsia="宋体" w:hAnsi="Times New Roman" w:cs="Times New Roman"/>
                <w:color w:val="000000"/>
                <w:szCs w:val="22"/>
              </w:rPr>
              <w:t>染料木素</w:t>
            </w:r>
            <w:r w:rsidR="00980AA0" w:rsidRPr="00082425">
              <w:rPr>
                <w:rFonts w:ascii="Times New Roman" w:eastAsia="宋体" w:hAnsi="Times New Roman" w:cs="Times New Roman"/>
              </w:rPr>
              <w:t>通过</w:t>
            </w:r>
            <w:r w:rsidR="00980AA0" w:rsidRPr="00082425">
              <w:rPr>
                <w:rFonts w:ascii="Times New Roman" w:eastAsia="宋体" w:hAnsi="Times New Roman" w:cs="Times New Roman"/>
              </w:rPr>
              <w:t>cAMP-PKA</w:t>
            </w:r>
            <w:r w:rsidR="00980AA0" w:rsidRPr="00082425">
              <w:rPr>
                <w:rFonts w:ascii="Times New Roman" w:eastAsia="宋体" w:hAnsi="Times New Roman" w:cs="Times New Roman"/>
              </w:rPr>
              <w:t>信号通路减弱氧化应激引起的细胞损伤，并提高细胞存活率</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{"citationID":"Gdf2EQqn","properties":{"formattedCitation":"\\super [38]\\nosupersub{}","plainCitation":"[38]","noteIndex":0},"citationItems":[{"id":6061,"uris":["http://zotero.org/users/8103267/items/9I3LZ3YB"],"itemData":{"id":6061,"type":"article-journal","abstract":"Genistein is an isoflavone that has estrogen (E2 )-like activity and is beneficial for follicular development, but little is known regarding its function in oxidative stress (OS)-mediated granulosa cell (GC) injury. Here, we found that after exposure to H2 O2 , Genistein weakened the elevated levels of intracellular reactive oxygen species (ROS) and malondialdehyde (MDA), which were regarded as the biomarkers for OS, and rescued glutathione (GSH) content and GSH/GSSG ratio accompanying with a simultaneous increase in cyclic adenosine monophosphate (cAMP) level, whereas addition of protein kinase A (PKA) inhibitor H89 impeded the effects of Genistein on the levels of ROS and MDA. Further analysis evidenced that Genistein enhanced the activities of antioxidant enzymes superoxide dismutase (SOD), GSH-peroxidase (GSH-Px), and catalase (CAT) in H2 O2 -treated GCs, but this enhancement was attenuated by H89. Under OS, Genistein improved cell viability and lessened the apoptotic rate of GCs along with a reduction in the activity of Casp3 and levels of Bax and Bad messenger RNA (mRNA), while H89 reversed the above effects. Moreover, Genistein treatment caused an obvious elevation in mitochondrial membrane potential (MMP) followed by a decline in the levels of intracellular mitochondrial superoxide, but H89 inhibited the regulation of Genistein on MMP and mitochondrial superoxide. Supplementation of Genistein promoted the secretion of E2 and increased the expression of Star and Cyp19a1 mRNA, whereas suppressed the level of progesterone (P4 ) accompanied with a decline in the level of Hsd3b1 mRNA expression. H89 blocked the regulation of Genistein on the secretion of E2 and P4 , and alleviated the ascending of Star and Cyp19a1 elicited by Genistein. Collectively, Genistein protects GCs from OS via cAMP-PKA signaling.","container-title":"Cell Biology International","DOI":"10.1002/cbin.11244","ISSN":"1095-8355","issue":"2","journalAbbreviation":"Cell Biol Int","language":"eng","page":"433-445","PMID":"31579960","source":"PubMed","title":"Genistein protects ovarian granulosa cells from oxidative stress via cAMP-PKA signaling","volume":"44","author":[{"family":"Luo","given":"Man"},{"family":"Yang","given":"Zhan-Qing"},{"family":"Huang","given":"Ji-Cheng"},{"family":"Wang","given":"Yu-Si"},{"family":"Guo","given":"Bin"},{"family":"Yue","given":"Zhan-Peng"}],"issued":{"date-parts":[["2020",2]]}}}],"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[38]</w:t>
            </w:r>
            <w:r w:rsidR="00D24275" w:rsidRPr="00082425">
              <w:rPr>
                <w:rFonts w:ascii="Times New Roman" w:eastAsia="宋体" w:hAnsi="Times New Roman" w:cs="Times New Roman"/>
              </w:rPr>
              <w:fldChar w:fldCharType="end"/>
            </w:r>
            <w:r w:rsidR="00980AA0" w:rsidRPr="00082425">
              <w:rPr>
                <w:rFonts w:ascii="Times New Roman" w:eastAsia="宋体" w:hAnsi="Times New Roman" w:cs="Times New Roman"/>
              </w:rPr>
              <w:t>。此外，</w:t>
            </w:r>
            <w:r w:rsidRPr="00082425">
              <w:rPr>
                <w:rFonts w:ascii="Times New Roman" w:eastAsia="宋体" w:hAnsi="Times New Roman" w:cs="Times New Roman"/>
                <w:color w:val="000000"/>
                <w:szCs w:val="22"/>
              </w:rPr>
              <w:t>染料木素</w:t>
            </w:r>
            <w:r w:rsidR="00980AA0" w:rsidRPr="00082425">
              <w:rPr>
                <w:rFonts w:ascii="Times New Roman" w:eastAsia="宋体" w:hAnsi="Times New Roman" w:cs="Times New Roman"/>
              </w:rPr>
              <w:t>还通过</w:t>
            </w:r>
            <w:r w:rsidR="00980AA0" w:rsidRPr="00082425">
              <w:rPr>
                <w:rFonts w:ascii="Times New Roman" w:eastAsia="宋体" w:hAnsi="Times New Roman" w:cs="Times New Roman"/>
              </w:rPr>
              <w:t>Nrf2</w:t>
            </w:r>
            <w:proofErr w:type="gramStart"/>
            <w:r w:rsidR="00980AA0" w:rsidRPr="00082425">
              <w:rPr>
                <w:rFonts w:ascii="Times New Roman" w:eastAsia="宋体" w:hAnsi="Times New Roman" w:cs="Times New Roman"/>
              </w:rPr>
              <w:t>介</w:t>
            </w:r>
            <w:proofErr w:type="gramEnd"/>
            <w:r w:rsidR="00980AA0" w:rsidRPr="00082425">
              <w:rPr>
                <w:rFonts w:ascii="Times New Roman" w:eastAsia="宋体" w:hAnsi="Times New Roman" w:cs="Times New Roman"/>
              </w:rPr>
              <w:t>导的抗氧化防御系统保护椎间盘细胞免受退变</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{"citationID":"WsqhW1uN","properties":{"formattedCitation":"\\super [39]\\nosupersub{}","plainCitation":"[39]","noteIndex":0},"citationItems":[{"id":6063,"uris":["http://zotero.org/users/8103267/items/EB5GXBHT"],"itemData":{"id":6063,"type":"article-journal","abstract":"Oxidative stress has been reported to be closely associated with the development of intervertebral disc degeneration (IDD). IDD is one of the major causes of low back pain. Genistein (GES), one of the main isoflavones of soybean, has been shown to exert multiple biological functions on different diseases. Here, we tested the therapeutic potential of GES for IDD. In vitro experiments, we confirmed GES was nontoxic to rat nucleus pulposus cells (NPCs) within the concentration of 100 μM. Furthermore, GES was able to suppress apoptosis in tert-butyl hydroperoxide (TBHP)-treated NPCs. In the aspect of extracellular matrix (ECM), GES not only reduced metalloproteinase-13 (MMP-13) and a disintegrin-like and MMP thrombospondin type 1 motif 5 expression, but also increased aggrecan and type II collagen levels. Also, we found GES might rescue TBHP-induced NPCs degeneration by enhancing Nrf2-mediated antioxidant defense system. Silencing Nrf2 partly abolished the protective effects of GES on apoptosis and ECM disruption in TBHP-treated NPCs. Correspondingly, GES ameliorated IDD in a rat model by preserving morphology of degenerative intervertebral discs and promoting Nrf2 expression. To sum up, our study suggests that GES exerts protective effects in NPCs against degeneration and reveals the underlying mechanism of GES on Nrf2 activation in NPCs.","container-title":"Journal of Cellular Physiology","DOI":"10.1002/jcp.28301","ISSN":"1097-4652","issue":"9","journalAbbreviation":"J Cell Physiol","language":"eng","page":"16348-16356","PMID":"30779107","source":"PubMed","title":"Genistein protects intervertebral discs from degeneration via Nrf2-mediated antioxidant defense system: An in vitro and in vivo study","title-short":"Genistein protects intervertebral discs from degeneration via Nrf2-mediated antioxidant defense system","volume":"234","author":[{"family":"Wang","given":"Ke"},{"family":"Hu","given":"Sunli"},{"family":"Wang","given":"Ben"},{"family":"Wang","given":"Jianle"},{"family":"Wang","given":"Xiangyang"},{"family":"Xu","given":"Cong"}],"issued":{"date-parts":[["2019",9]]}}}],"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[39]</w:t>
            </w:r>
            <w:r w:rsidR="00D24275" w:rsidRPr="00082425">
              <w:rPr>
                <w:rFonts w:ascii="Times New Roman" w:eastAsia="宋体" w:hAnsi="Times New Roman" w:cs="Times New Roman"/>
              </w:rPr>
              <w:fldChar w:fldCharType="end"/>
            </w:r>
            <w:r w:rsidR="00980AA0" w:rsidRPr="00082425">
              <w:rPr>
                <w:rFonts w:ascii="Times New Roman" w:eastAsia="宋体" w:hAnsi="Times New Roman" w:cs="Times New Roman"/>
              </w:rPr>
              <w:t>。</w:t>
            </w:r>
          </w:p>
          <w:p w14:paraId="162FF6CA" w14:textId="114218C6" w:rsidR="00980AA0" w:rsidRPr="00082425" w:rsidRDefault="00980AA0" w:rsidP="00980AA0">
            <w:pPr>
              <w:spacing w:line="360" w:lineRule="auto"/>
              <w:rPr>
                <w:rFonts w:ascii="Times New Roman" w:eastAsia="宋体" w:hAnsi="Times New Roman" w:cs="Times New Roman"/>
              </w:rPr>
            </w:pPr>
            <w:r w:rsidRPr="00082425">
              <w:rPr>
                <w:rFonts w:ascii="Times New Roman" w:eastAsia="宋体" w:hAnsi="Times New Roman" w:cs="Times New Roman"/>
              </w:rPr>
              <w:t>在抗炎方面，</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通过抑制</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和</w:t>
            </w:r>
            <w:r w:rsidRPr="00082425">
              <w:rPr>
                <w:rFonts w:ascii="Times New Roman" w:eastAsia="宋体" w:hAnsi="Times New Roman" w:cs="Times New Roman"/>
              </w:rPr>
              <w:t>MAPK</w:t>
            </w:r>
            <w:r w:rsidRPr="00082425">
              <w:rPr>
                <w:rFonts w:ascii="Times New Roman" w:eastAsia="宋体" w:hAnsi="Times New Roman" w:cs="Times New Roman"/>
              </w:rPr>
              <w:t>信号通路来减轻炎症反应。在大鼠模型中，</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显著抑制了由</w:t>
            </w:r>
            <w:r w:rsidRPr="00082425">
              <w:rPr>
                <w:rFonts w:ascii="Times New Roman" w:eastAsia="宋体" w:hAnsi="Times New Roman" w:cs="Times New Roman"/>
              </w:rPr>
              <w:t>d-</w:t>
            </w:r>
            <w:r w:rsidRPr="00082425">
              <w:rPr>
                <w:rFonts w:ascii="Times New Roman" w:eastAsia="宋体" w:hAnsi="Times New Roman" w:cs="Times New Roman"/>
              </w:rPr>
              <w:t>半乳糖胺诱导的急性肝衰竭中的炎症因子表达</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{"citationID":"Mg8Gi7wV","properties":{"formattedCitation":"\\super [40]\\nosupersub{}","plainCitation":"[40]","noteIndex":0},"citationItems":[{"id":6065,"uris":["http://zotero.org/users/8103267/items/MNAQPEHY"],"itemData":{"id":6065,"type":"article-journal","abstract":"Genistein is an isoflavanoid abundantly found in soy. It has been found to play an important role in the prevention of various chronic diseases including cancer. In this study, we evaluated potential therapeutic properties of Genistein against d-Galactosamine (d-GalN) induced inflammation and hepatotoxicity in male Wistar rats. Fulminant hepatic failure (FHF) was induced in rats by intraperitoneal injection of d-GalN (700mg/kgBW). Genistein (5mg/kgBW/day) was given as pre-treatment for 30days via intra-gastric route followed by d-GalN (700mg/kgBW) injection. The hepatoprotective and curative effects of Genistein were evident from a significant decrease in the serum aspartate aminotransferase (AST) and alanine aminotransferase (ALT) levels as well as prevention of histological damage by pre-treatment of Genistein. Genistein pre-treatment significantly inhibited the increased protein levels of inducible nitric oxide synthase (iNOS) and cyclooxygenase-2 (COX-2), thereby reducing nitric oxide (NO) and prostaglandin-E2 (PGE) levels, respectively. In addition Genistein significantly suppressed the production of d-GalN-induced proinflammatory cytokines, including tumor necrosis factor-α (TNF-α) and interleukin (IL)-1β. These inhibitory effects were associated with the suppression of nuclear factor-kappa B (NF-ĸB) activation, IKKα/β and Mitogen activated protein kinase (MAPK) phosphorylation by Genistein in d-GalN-treated animals. In conclusion, our results suggest that Genistein may serve as a potential supplement in the prevention of hepatic and inflammatory diseases. Furthermore Genistein is able to maintain the redox potential and strengthens the antioxidant defense system of a cell.","container-title":"Toxicology and Applied Pharmacology","DOI":"10.1016/j.taap.2015.01.012","ISSN":"1096-0333","issue":"2","journalAbbreviation":"Toxicol Appl Pharmacol","language":"eng","page":"139-146","PMID":"25620059","source":"PubMed","title":"Genistein modulates the expression of NF-κB and MAPK (p-38 and ERK1/2), thereby attenuating d-Galactosamine induced fulminant hepatic failure in Wistar rats","volume":"283","author":[{"family":"Ganai","given":"Ajaz A."},{"family":"Khan","given":"Athar A."},{"family":"Malik","given":"Zainul A."},{"family":"Farooqi","given":"Humaira"}],"issued":{"date-parts":[["2015",3,1]]}}}],"schema":"https://github.com/citation-style-language/schema/raw/master/csl-citation.json"}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[40]</w:t>
            </w:r>
            <w:r w:rsidR="00D24275"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通过抑制</w:t>
            </w:r>
            <w:r w:rsidRPr="00082425">
              <w:rPr>
                <w:rFonts w:ascii="Times New Roman" w:eastAsia="宋体" w:hAnsi="Times New Roman" w:cs="Times New Roman"/>
              </w:rPr>
              <w:lastRenderedPageBreak/>
              <w:t>TLR4/MyD88</w:t>
            </w:r>
            <w:r w:rsidRPr="00082425">
              <w:rPr>
                <w:rFonts w:ascii="Times New Roman" w:eastAsia="宋体" w:hAnsi="Times New Roman" w:cs="Times New Roman"/>
              </w:rPr>
              <w:t>、</w:t>
            </w:r>
            <w:r w:rsidRPr="00082425">
              <w:rPr>
                <w:rFonts w:ascii="Times New Roman" w:eastAsia="宋体" w:hAnsi="Times New Roman" w:cs="Times New Roman"/>
              </w:rPr>
              <w:t>JAK1/STAT3</w:t>
            </w:r>
            <w:r w:rsidRPr="00082425">
              <w:rPr>
                <w:rFonts w:ascii="Times New Roman" w:eastAsia="宋体" w:hAnsi="Times New Roman" w:cs="Times New Roman"/>
              </w:rPr>
              <w:t>和</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通路，减轻了内毒素诱导的结肠毒性</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{"citationID":"0J2cxWmG","properties":{"formattedCitation":"\\super [41]\\nosupersub{}","plainCitation":"[41]","noteIndex":0},"citationItems":[{"id":6067,"uris":["http://zotero.org/users/8103267/items/SZ85ZHB5"],"itemData":{"id":6067,"type":"article-journal","abstract":"Endosulfan (ESN) is an organophosphate insecticidal agent that is documented to induce various organ toxicities. Genistein (GEN) is a plant derived polyphenolic compound with excellent biological as well as pharmacological properties. This research was planned to assess the palliative potential of GEN to avert ENS prompted colonic toxicity. Albino rats (n = 36) were involved in this experiment that were divided into the control, ESN (5 mg/kg), ESN (5 mg/kg) + GEN (10 mg/kg), and GEN (10 mg/kg) alone treated group. We found that ENS intoxication upregulated the gene expression of STAT3, JAK1, TRAF6, MyD88, NF-κB, IL- IL-1β, TLR4, TNF-α, and IL-6 while reducing the gene expression of IκB. Moreover, ENS intoxication elevated the levelss of malondialdehyde (MDA) &amp; reactive oxygen species (ROS) while decreasing the activties of glutathione reductase (GSR), catalase (CAT), heme-oxygenase-1 (HO-1), glutathione peroxidase (GPx), glutathione (GSH), superoxide dismutase (SOD), and glutathione S-transferase (GST). Furthermore, ESN administration notably escalated the concentrations of fecal calprotectin whereas reduced the concentrations of fecal elastase, lactase and sucrase. Besides, ESN intake upregulated the levels of Caspase-9, Bax and Caspase-3 while diminishing the levels of Bcl-2. Colonic histology was distorted after ESN provision. Nonetheless, GEN treatment remarkably protected the colonic tissues via regulating abovementioned irregularities owing to its marvelous anti-inflammatory, anti-apoptotic as well as antioxidant potential.","container-title":"Tissue &amp; Cell","DOI":"10.1016/j.tice.2025.102730","ISSN":"1532-3072","journalAbbreviation":"Tissue Cell","language":"eng","page":"102730","PMID":"39823706","source":"PubMed","title":"Palliative potential of genistein to counteract endosulfan instigated colon toxicity via regulating TLR4/MyD88, JAK1/STAT3 and NF-κB pathway: A biochemical and histological approach","title-short":"Palliative potential of genistein to counteract endosulfan instigated colon toxicity via regulating TLR4/MyD88, JAK1/STAT3 and NF-κB pathway","volume":"93","author":[{"family":"Alzahrani","given":"Khalid J."},{"family":"El Safadi","given":"Mahmoud"},{"family":"Alsharif","given":"Khalaf F."},{"family":"Alzahrani","given":"Fuad M."},{"family":"Hayat","given":"Muhammad Faisal"}],"issued":{"date-parts":[["2025",4]]}}}],"schema":"https://github.com/citation-style-language/schema/raw/master/csl-citation.json"}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[41]</w:t>
            </w:r>
            <w:r w:rsidR="00D24275"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491B5582" w14:textId="17E8F737" w:rsidR="00980AA0" w:rsidRPr="00082425" w:rsidRDefault="00E82300" w:rsidP="00980AA0">
            <w:pPr>
              <w:spacing w:line="360" w:lineRule="auto"/>
              <w:rPr>
                <w:rFonts w:ascii="Times New Roman" w:eastAsia="宋体" w:hAnsi="Times New Roman" w:cs="Times New Roman"/>
              </w:rPr>
            </w:pPr>
            <w:r w:rsidRPr="00082425">
              <w:rPr>
                <w:rFonts w:ascii="Times New Roman" w:eastAsia="宋体" w:hAnsi="Times New Roman" w:cs="Times New Roman"/>
                <w:color w:val="000000"/>
                <w:szCs w:val="22"/>
              </w:rPr>
              <w:t>染料木素</w:t>
            </w:r>
            <w:r w:rsidR="00980AA0" w:rsidRPr="00082425">
              <w:rPr>
                <w:rFonts w:ascii="Times New Roman" w:eastAsia="宋体" w:hAnsi="Times New Roman" w:cs="Times New Roman"/>
              </w:rPr>
              <w:t>的多功能性还体现在其对代谢疾病的影响上。研究表明，</w:t>
            </w:r>
            <w:r w:rsidRPr="00082425">
              <w:rPr>
                <w:rFonts w:ascii="Times New Roman" w:eastAsia="宋体" w:hAnsi="Times New Roman" w:cs="Times New Roman"/>
                <w:color w:val="000000"/>
                <w:szCs w:val="22"/>
              </w:rPr>
              <w:t>染料木素</w:t>
            </w:r>
            <w:r w:rsidR="00980AA0" w:rsidRPr="00082425">
              <w:rPr>
                <w:rFonts w:ascii="Times New Roman" w:eastAsia="宋体" w:hAnsi="Times New Roman" w:cs="Times New Roman"/>
              </w:rPr>
              <w:t>通过激活</w:t>
            </w:r>
            <w:r w:rsidR="00980AA0" w:rsidRPr="00082425">
              <w:rPr>
                <w:rFonts w:ascii="Times New Roman" w:eastAsia="宋体" w:hAnsi="Times New Roman" w:cs="Times New Roman"/>
              </w:rPr>
              <w:t>SIRT1-AMPK</w:t>
            </w:r>
            <w:r w:rsidR="00980AA0" w:rsidRPr="00082425">
              <w:rPr>
                <w:rFonts w:ascii="Times New Roman" w:eastAsia="宋体" w:hAnsi="Times New Roman" w:cs="Times New Roman"/>
              </w:rPr>
              <w:t>信号通路来减少鸡肝细胞中的脂肪积累，从而可能作为一种营养补充剂来预防脂肪代谢相关疾病</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{"citationID":"gqHAk9wI","properties":{"formattedCitation":"\\super [42]\\nosupersub{}","plainCitation":"[42]","noteIndex":0},"citationItems":[{"id":6071,"uris":["http://zotero.org/users/8103267/items/I3WAJIUG"],"itemData":{"id":6071,"type":"article-journal","abstract":"Excessive fat accumulation in broiler chickens would seriously threaten the poultry industry. It leads to lower feed conversion rate and worse meat quality. Even worse, it harms the consumers' health due to the intake of high-fat chicken products. Dietary supplements with bioactive ingredients have been considered an effective way to solve this problem. Genistein is the primary phytoestrogen in soybean. Its fat-reduction effect has been reported, but the molecular mechanism is unclear. The present study found that genistein reduced lipid droplets accumulation by regulating lipid metabolism-related factors expression in chicken hepatocytes. The research showed that genistein significantly increased phosphor (p)-AMP-activated protein kinase (p-AMPK) and Sirtuin 1 (SIRT1) protein expressions. The effect of genistein on reducing lipid droplets accumulation and upregulating p-AMPK protein level was blocked entirely when pretreated with SIRT1 inhibitor. These results implied that SIRT1 is required to activate AMPK. Furthermore, genistein treatment significantly upregulated the SIRT1 protein level when pretreated with AMPK inhibitor. We demonstrated that the activation of estrogen receptor β-Forkhead box O1-Nicotinamide phosphoribosyl transferase (ERβ-FOXO1-Nampt) signaling pathway upregulated the NAD+ concentration in hepatocytes, and activated SIRT1 ultimately. In summary, we demonstrated that genistein suppressed lipid droplets accumulation in chicken hepatocytes by activating SIRT1-AMPK. The SIRT1-AMPK signaling pathway was mediated by ERβ-FOXO1-Nampt. These findings increase our understanding of the mechanisms of genistein on fat reduction, and provide compelling evidence for it as a nutritional supplement to prevent excessive fat deposition and lipid metabolism-related diseases in animals and even humans.","container-title":"Life Sciences","DOI":"10.1016/j.lfs.2022.121259","ISSN":"1879-0631","journalAbbreviation":"Life Sci","language":"eng","page":"121259","PMID":"36463943","source":"PubMed","title":"Genistein activated SIRT1-AMPK signaling pathway mediated by ERβ-FOXO1-Nampt to reduce fat accumulation in chicken hepatocytes","volume":"312","author":[{"family":"Jiang","given":"Zhihao"},{"family":"Wang","given":"Huihui"},{"family":"Yang","given":"Ying"},{"family":"Yao","given":"Yao"},{"family":"Ma","given":"Haitian"}],"issued":{"date-parts":[["2023",1,1]]}}}],"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[42]</w:t>
            </w:r>
            <w:r w:rsidR="00D24275" w:rsidRPr="00082425">
              <w:rPr>
                <w:rFonts w:ascii="Times New Roman" w:eastAsia="宋体" w:hAnsi="Times New Roman" w:cs="Times New Roman"/>
              </w:rPr>
              <w:fldChar w:fldCharType="end"/>
            </w:r>
            <w:r w:rsidR="00980AA0" w:rsidRPr="00082425">
              <w:rPr>
                <w:rFonts w:ascii="Times New Roman" w:eastAsia="宋体" w:hAnsi="Times New Roman" w:cs="Times New Roman"/>
              </w:rPr>
              <w:t>。此外，</w:t>
            </w:r>
            <w:r w:rsidRPr="00082425">
              <w:rPr>
                <w:rFonts w:ascii="Times New Roman" w:eastAsia="宋体" w:hAnsi="Times New Roman" w:cs="Times New Roman"/>
                <w:color w:val="000000"/>
                <w:szCs w:val="22"/>
              </w:rPr>
              <w:t>染料木素</w:t>
            </w:r>
            <w:r w:rsidR="00980AA0" w:rsidRPr="00082425">
              <w:rPr>
                <w:rFonts w:ascii="Times New Roman" w:eastAsia="宋体" w:hAnsi="Times New Roman" w:cs="Times New Roman"/>
              </w:rPr>
              <w:t>还通过调节脂质和葡萄糖代谢，显示出对非酒精性脂肪肝病（</w:t>
            </w:r>
            <w:r w:rsidR="00980AA0" w:rsidRPr="00082425">
              <w:rPr>
                <w:rFonts w:ascii="Times New Roman" w:eastAsia="宋体" w:hAnsi="Times New Roman" w:cs="Times New Roman"/>
              </w:rPr>
              <w:t>NAFLD</w:t>
            </w:r>
            <w:r w:rsidR="00980AA0" w:rsidRPr="00082425">
              <w:rPr>
                <w:rFonts w:ascii="Times New Roman" w:eastAsia="宋体" w:hAnsi="Times New Roman" w:cs="Times New Roman"/>
              </w:rPr>
              <w:t>）的潜在治疗作用</w:t>
            </w:r>
            <w:r w:rsidR="00D24275"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{"citationID":"2NNUskge","properties":{"formattedCitation":"\\super [43]\\nosupersub{}","plainCitation":"[43]","noteIndex":0},"citationItems":[{"id":6069,"uris":["http://zotero.org/users/8103267/items/U9DBN7LS"],"itemData":{"id":6069,"type":"article-journal","abstract":"NAFLD is a vital health problem worldwide; however, no effective treatment is currently available for NAFLD. Intensive studies have indicated the efficacy of genistein (GE), a bioactive isoflavone extracted from soy, in treating NAFLD. In addition to its oestrogen-like effects, GE is known to have multiple molecular effects, for instance, lipid and glucose metabolism-promoting effects and activities against lipid peroxidation, inflammation, fibrosis, and NAFLD-related tumours. Here, this review summarizes the potential role of GE in the treatment and prevention of NAFLD and some of the currently known targets and signalling pathways of GE in NAFLD.","container-title":"Biomedicine &amp; Pharmacotherapy = Biomedecine &amp; Pharmacotherapie","DOI":"10.1016/j.biopha.2019.109047","ISSN":"1950-6007","journalAbbreviation":"Biomed Pharmacother","language":"eng","page":"109047","PMID":"31176163","source":"PubMed","title":"Protective effect of genistein on nonalcoholic fatty liver disease (NAFLD)","volume":"117","author":[{"family":"Xin","given":"Xin"},{"family":"Chen","given":"Cheng"},{"family":"Hu","given":"Yi-Yang"},{"family":"Feng","given":"Qin"}],"issued":{"date-parts":[["2019",9]]}}}],"schema":"https://github.com/citation-style-language/schema/raw/master/csl-citation.json"} </w:instrText>
            </w:r>
            <w:r w:rsidR="00D24275"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[43]</w:t>
            </w:r>
            <w:r w:rsidR="00D24275" w:rsidRPr="00082425">
              <w:rPr>
                <w:rFonts w:ascii="Times New Roman" w:eastAsia="宋体" w:hAnsi="Times New Roman" w:cs="Times New Roman"/>
              </w:rPr>
              <w:fldChar w:fldCharType="end"/>
            </w:r>
            <w:r w:rsidR="00980AA0" w:rsidRPr="00082425">
              <w:rPr>
                <w:rFonts w:ascii="Times New Roman" w:eastAsia="宋体" w:hAnsi="Times New Roman" w:cs="Times New Roman"/>
              </w:rPr>
              <w:t>。</w:t>
            </w:r>
          </w:p>
          <w:p w14:paraId="38AC49EC" w14:textId="78475A0F" w:rsidR="00980AA0" w:rsidRPr="00082425" w:rsidRDefault="00980AA0" w:rsidP="00980AA0">
            <w:pPr>
              <w:spacing w:line="360" w:lineRule="auto"/>
              <w:rPr>
                <w:rFonts w:ascii="Times New Roman" w:eastAsia="宋体" w:hAnsi="Times New Roman" w:cs="Times New Roman"/>
              </w:rPr>
            </w:pPr>
            <w:r w:rsidRPr="00082425">
              <w:rPr>
                <w:rFonts w:ascii="Times New Roman" w:eastAsia="宋体" w:hAnsi="Times New Roman" w:cs="Times New Roman"/>
              </w:rPr>
              <w:t>综上所述，</w:t>
            </w:r>
            <w:r w:rsidR="00E82300" w:rsidRPr="00082425">
              <w:rPr>
                <w:rFonts w:ascii="Times New Roman" w:eastAsia="宋体" w:hAnsi="Times New Roman" w:cs="Times New Roman"/>
                <w:color w:val="000000"/>
                <w:szCs w:val="22"/>
              </w:rPr>
              <w:t>染料木素</w:t>
            </w:r>
            <w:r w:rsidRPr="00082425">
              <w:rPr>
                <w:rFonts w:ascii="Times New Roman" w:eastAsia="宋体" w:hAnsi="Times New Roman" w:cs="Times New Roman"/>
              </w:rPr>
              <w:t>作为一种天然异黄酮，具有广泛的生物活性，包括</w:t>
            </w:r>
            <w:r w:rsidR="00FE0C39" w:rsidRPr="00082425">
              <w:rPr>
                <w:rFonts w:ascii="Times New Roman" w:eastAsia="宋体" w:hAnsi="Times New Roman" w:cs="Times New Roman"/>
              </w:rPr>
              <w:t>抗肿瘤</w:t>
            </w:r>
            <w:r w:rsidRPr="00082425">
              <w:rPr>
                <w:rFonts w:ascii="Times New Roman" w:eastAsia="宋体" w:hAnsi="Times New Roman" w:cs="Times New Roman"/>
              </w:rPr>
              <w:t>、抗氧化、抗炎和代谢调节等。其多重作用机制使其成为研究和开发新型治疗药物的重要候选物。然而，进一步的研究仍需深入探讨其在不同疾病模型中的具体作用机制和临床应用潜力。</w:t>
            </w:r>
          </w:p>
          <w:p w14:paraId="60F34DDB" w14:textId="3C15FEA0" w:rsidR="001829EB" w:rsidRPr="00082425" w:rsidRDefault="001829EB" w:rsidP="00A872CD">
            <w:pPr>
              <w:spacing w:line="360" w:lineRule="auto"/>
              <w:rPr>
                <w:rFonts w:ascii="Times New Roman" w:eastAsia="宋体" w:hAnsi="Times New Roman" w:cs="Times New Roman"/>
              </w:rPr>
            </w:pPr>
          </w:p>
        </w:tc>
      </w:tr>
      <w:tr w:rsidR="00E95036" w:rsidRPr="00082425" w14:paraId="11D3FB0E" w14:textId="4160A84F" w:rsidTr="004E7B66">
        <w:tc>
          <w:tcPr>
            <w:tcW w:w="829" w:type="dxa"/>
          </w:tcPr>
          <w:p w14:paraId="02B7219E" w14:textId="412AF596" w:rsidR="00E95036" w:rsidRPr="00082425" w:rsidRDefault="00E95036"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1</w:t>
            </w:r>
            <w:r w:rsidR="00B23719" w:rsidRPr="00082425">
              <w:rPr>
                <w:rFonts w:ascii="Times New Roman" w:eastAsia="宋体" w:hAnsi="Times New Roman" w:cs="Times New Roman"/>
                <w:lang w:val="pt-BR"/>
              </w:rPr>
              <w:t>1</w:t>
            </w:r>
          </w:p>
        </w:tc>
        <w:tc>
          <w:tcPr>
            <w:tcW w:w="3355" w:type="dxa"/>
          </w:tcPr>
          <w:p w14:paraId="618A4684" w14:textId="04A02218" w:rsidR="00E95036" w:rsidRPr="00082425" w:rsidRDefault="00E95036" w:rsidP="00A872CD">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补骨脂二氢黄酮</w:t>
            </w:r>
          </w:p>
          <w:p w14:paraId="469165E4" w14:textId="475E8B56" w:rsidR="00E95036" w:rsidRPr="00082425" w:rsidRDefault="00E82300" w:rsidP="00A872CD">
            <w:pPr>
              <w:spacing w:line="360" w:lineRule="auto"/>
              <w:rPr>
                <w:rFonts w:ascii="Times New Roman" w:eastAsia="宋体" w:hAnsi="Times New Roman" w:cs="Times New Roman"/>
                <w:lang w:val="pt-BR"/>
              </w:rPr>
            </w:pPr>
            <w:r w:rsidRPr="00082425">
              <w:rPr>
                <w:rFonts w:ascii="Times New Roman" w:eastAsia="宋体" w:hAnsi="Times New Roman" w:cs="Times New Roman"/>
              </w:rPr>
              <w:t>Bavachin</w:t>
            </w:r>
          </w:p>
        </w:tc>
        <w:tc>
          <w:tcPr>
            <w:tcW w:w="10133" w:type="dxa"/>
          </w:tcPr>
          <w:p w14:paraId="262EB4BF" w14:textId="48A8AD19" w:rsidR="00E95036" w:rsidRPr="00082425" w:rsidRDefault="00E95036" w:rsidP="00A872CD">
            <w:pPr>
              <w:spacing w:line="360" w:lineRule="auto"/>
              <w:rPr>
                <w:rFonts w:ascii="Times New Roman" w:eastAsia="宋体" w:hAnsi="Times New Roman" w:cs="Times New Roman"/>
              </w:rPr>
            </w:pPr>
            <w:r w:rsidRPr="00082425">
              <w:rPr>
                <w:rFonts w:ascii="Times New Roman" w:eastAsia="宋体" w:hAnsi="Times New Roman" w:cs="Times New Roman"/>
              </w:rPr>
              <w:t>其</w:t>
            </w:r>
            <w:r w:rsidR="00D24275" w:rsidRPr="00082425">
              <w:rPr>
                <w:rFonts w:ascii="Times New Roman" w:eastAsia="宋体" w:hAnsi="Times New Roman" w:cs="Times New Roman"/>
              </w:rPr>
              <w:t>在多种疾病的治疗中展现出潜在的药用价值，尤其是在代谢性疾病、心血管疾病、免疫调节和</w:t>
            </w:r>
            <w:r w:rsidR="00FE0C39" w:rsidRPr="00082425">
              <w:rPr>
                <w:rFonts w:ascii="Times New Roman" w:eastAsia="宋体" w:hAnsi="Times New Roman" w:cs="Times New Roman"/>
              </w:rPr>
              <w:t>抗肿瘤</w:t>
            </w:r>
            <w:r w:rsidR="00D24275" w:rsidRPr="00082425">
              <w:rPr>
                <w:rFonts w:ascii="Times New Roman" w:eastAsia="宋体" w:hAnsi="Times New Roman" w:cs="Times New Roman"/>
              </w:rPr>
              <w:t>等领域</w:t>
            </w:r>
            <w:r w:rsidR="001829EB" w:rsidRPr="00082425">
              <w:rPr>
                <w:rFonts w:ascii="Times New Roman" w:eastAsia="宋体" w:hAnsi="Times New Roman" w:cs="Times New Roman"/>
              </w:rPr>
              <w:t>。</w:t>
            </w:r>
          </w:p>
          <w:p w14:paraId="2AB06FEE" w14:textId="335495FD" w:rsidR="00654CEC" w:rsidRPr="00082425" w:rsidRDefault="00654CEC" w:rsidP="00654CEC">
            <w:pPr>
              <w:spacing w:line="360" w:lineRule="auto"/>
              <w:rPr>
                <w:rFonts w:ascii="Times New Roman" w:eastAsia="宋体" w:hAnsi="Times New Roman" w:cs="Times New Roman"/>
              </w:rPr>
            </w:pPr>
            <w:r w:rsidRPr="00082425">
              <w:rPr>
                <w:rFonts w:ascii="Times New Roman" w:eastAsia="宋体" w:hAnsi="Times New Roman" w:cs="Times New Roman"/>
              </w:rPr>
              <w:t>首先，</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在代谢性疾病中的作用尤为显著。研究表明，</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通过激活胰岛素信号通路和</w:t>
            </w:r>
            <w:r w:rsidRPr="00082425">
              <w:rPr>
                <w:rFonts w:ascii="Times New Roman" w:eastAsia="宋体" w:hAnsi="Times New Roman" w:cs="Times New Roman"/>
              </w:rPr>
              <w:t>AMPK</w:t>
            </w:r>
            <w:r w:rsidRPr="00082425">
              <w:rPr>
                <w:rFonts w:ascii="Times New Roman" w:eastAsia="宋体" w:hAnsi="Times New Roman" w:cs="Times New Roman"/>
              </w:rPr>
              <w:t>途径，显著提高了</w:t>
            </w:r>
            <w:r w:rsidRPr="00082425">
              <w:rPr>
                <w:rFonts w:ascii="Times New Roman" w:eastAsia="宋体" w:hAnsi="Times New Roman" w:cs="Times New Roman"/>
              </w:rPr>
              <w:t>3T3-L1</w:t>
            </w:r>
            <w:r w:rsidRPr="00082425">
              <w:rPr>
                <w:rFonts w:ascii="Times New Roman" w:eastAsia="宋体" w:hAnsi="Times New Roman" w:cs="Times New Roman"/>
              </w:rPr>
              <w:t>脂肪细胞的胰岛素依赖性葡萄糖摄取能力，这表明其在</w:t>
            </w:r>
            <w:r w:rsidRPr="00082425">
              <w:rPr>
                <w:rFonts w:ascii="Times New Roman" w:eastAsia="宋体" w:hAnsi="Times New Roman" w:cs="Times New Roman"/>
              </w:rPr>
              <w:t>2</w:t>
            </w:r>
            <w:r w:rsidRPr="00082425">
              <w:rPr>
                <w:rFonts w:ascii="Times New Roman" w:eastAsia="宋体" w:hAnsi="Times New Roman" w:cs="Times New Roman"/>
              </w:rPr>
              <w:t>型糖尿病的治疗中具有潜在的应用价值</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{"citationID":"UxLV1J7V","properties":{"formattedCitation":"\\super [44]\\nosupersub{}","plainCitation":"[44]","noteIndex":0},"citationItems":[{"id":6073,"uris":["http://zotero.org/users/8103267/items/Q578JNFB"],"itemData":{"id":6073,"type":"article-journal","abstract":"The fruit of Psoralea corylifolia L. (Fabaceae) (PC), known as \"Bo-Gol-Zhee\" in Korea has been used as traditional medicine. Ethanol and aqueous extracts of PC have an anti-hyperglycemic effect by increasing plasma insulin levels and decreasing blood glucose and total plasma cholesterol levels in type 2 diabetic rats. In this study, we purified six compounds from PC and investigated their anti-diabetic effect. Among the purified compounds, bavachin most potently accumulated lipids during adipocyte differentiation. Intracellular lipid accumulation was measured by Oil Red-O (ORO) cell staining to investigate the effect of compounds on adipogenesis. Consistently, bavachin activated gene expression of adipogenic transcriptional factors, proliferator-activated receptorγ (PPARγ) and CCAAT/enhancer binding protein-α (C/EBPα). Bavachin also increased adiponectin expression and secretion in adipocytes. Moreover, bavachin increased insulin-induced glucose uptake by differentiated adipocytes and myoblasts. In differentiated adipocytes, we found that bavachin enhanced glucose uptake via glucose transporter 4 (GLUT4) translocation by activating the Akt and 5'AMP-activated protein kinase (AMPK) pathway in the presence or absence of insulin. These results suggest that bavachin from Psoralea corylifolia might have therapeutic potential for type 2 diabetes by activating insulin signaling pathways.","container-title":"International Journal of Molecular Sciences","DOI":"10.3390/ijms17040527","ISSN":"1422-0067","issue":"4","journalAbbreviation":"Int J Mol Sci","language":"eng","page":"527","PMID":"27070585","PMCID":"PMC4848983","source":"PubMed","title":"Bavachin from Psoralea corylifolia Improves Insulin-Dependent Glucose Uptake through Insulin Signaling and AMPK Activation in 3T3-L1 Adipocytes","volume":"17","author":[{"family":"Lee","given":"Hyejin"},{"family":"Li","given":"Hua"},{"family":"Noh","given":"Minsoo"},{"family":"Ryu","given":"Jae-Ha"}],"issued":{"date-parts":[["2016",4,8]]}}}],"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[44]</w:t>
            </w:r>
            <w:r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还通过抑制脂质合成基因的表达和促进脂肪组织的热生热作用，减轻了高脂饮食诱导的小鼠肥胖和肝脏脂肪变性</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{"citationID":"bHlYXvmB","properties":{"formattedCitation":"\\super [45]\\nosupersub{}","plainCitation":"[45]","noteIndex":0},"citationItems":[{"id":6076,"uris":["http://zotero.org/users/8103267/items/ZRG25PWF"],"itemData":{"id":6076,"type":"article-journal","abstract":"Non-alcoholic fatty liver disease (NAFLD) is a major health concern worldwide, and the incidence of metabolic disorders associated with NAFLD is rapidly increasing because of the obesity epidemic. There are currently no approved drugs that prevent or treat NAFLD. Recent evidence shows that bavachin, a flavonoid isolated from the seeds and fruits of Psoralea corylifolia L., increases the transcriptional activity of PPARγ and insulin sensitivity during preadipocyte differentiation, but the effect of bavachin on glucose and lipid metabolism remains unclear. In the current study we investigated the effects of bavachin on obesity-associated NAFLD in vivo and in vitro. In mouse primary hepatocytes and Huh7 cells, treatment with bavachin (20 μM) significantly suppressed PA/OA or high glucose/high insulin-induced increases in the expression of fatty acid synthesis-related genes and the number and size of lipid droplets. Furthermore, bavachin treatment markedly elevated the phosphorylation levels of AKT and GSK-3β, improving the insulin signaling activity in the cells. In HFD-induced obese mice, administration of bavachin (30 mg/kg, i.p. every other day for 8 weeks) efficiently attenuated the increases in body weight, liver weight, blood glucose, and liver and serum triglyceride contents. Moreover, bavachin administration significantly alleviated hepatic inflammation and ameliorated HFD-induced glucose intolerance and insulin resistance. We demonstrated that bavachin protected against HFD-induced obesity by inducing fat thermogenesis and browning subcutaneous white adipose tissue (subWAT). We revealed that bavachin repressed the expression of lipid synthesis genes in the liver of obese mice, while promoting the expression of thermogenesis, browning, and mitochondrial respiration-related genes in subWAT and brown adipose tissue (BAT) in the mice. In conclusion, bavachin attenuates hepatic steatosis and obesity by repressing de novo lipogenesis, inducing fat thermogenesis and browning subWAT, suggesting that bavachin is a potential drug for NAFLD therapy.","container-title":"Acta Pharmacologica Sinica","DOI":"10.1038/s41401-023-01056-z","ISSN":"1745-7254","issue":"7","journalAbbreviation":"Acta Pharmacol Sin","language":"eng","page":"1416-1428","PMID":"36721007","PMCID":"PMC10310714","source":"PubMed","title":"Bavachin protects against diet-induced hepatic steatosis and obesity in mice","volume":"44","author":[{"family":"Wei","given":"Xiang"},{"family":"Lin","given":"Li"},{"family":"Yuan","given":"Qian-Qian"},{"family":"Wang","given":"Xiu-Yun"},{"family":"Zhang","given":"Qing"},{"family":"Zhang","given":"Xiao-Min"},{"family":"Tang","given":"Ke-Chao"},{"family":"Guo","given":"Man-Yu"},{"family":"Dong","given":"Ting-Yu"},{"family":"Han","given":"Wei"},{"family":"Huang","given":"Da-Ke"},{"family":"Qi","given":"Yin-Liang"},{"family":"Zhang","given":"Mei"},{"family":"Zhang","given":"Hua-Bing"}],"issued":{"date-parts":[["2023",7]]}}}],"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[45]</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4DC2C372" w14:textId="7B963460" w:rsidR="00654CEC" w:rsidRPr="00082425" w:rsidRDefault="00654CEC" w:rsidP="00654CEC">
            <w:pPr>
              <w:spacing w:line="360" w:lineRule="auto"/>
              <w:rPr>
                <w:rFonts w:ascii="Times New Roman" w:eastAsia="宋体" w:hAnsi="Times New Roman" w:cs="Times New Roman"/>
              </w:rPr>
            </w:pPr>
            <w:r w:rsidRPr="00082425">
              <w:rPr>
                <w:rFonts w:ascii="Times New Roman" w:eastAsia="宋体" w:hAnsi="Times New Roman" w:cs="Times New Roman"/>
              </w:rPr>
              <w:t>在心血管疾病方面，</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通过激活</w:t>
            </w:r>
            <w:r w:rsidRPr="00082425">
              <w:rPr>
                <w:rFonts w:ascii="Times New Roman" w:eastAsia="宋体" w:hAnsi="Times New Roman" w:cs="Times New Roman"/>
              </w:rPr>
              <w:t>mTOR</w:t>
            </w:r>
            <w:r w:rsidRPr="00082425">
              <w:rPr>
                <w:rFonts w:ascii="Times New Roman" w:eastAsia="宋体" w:hAnsi="Times New Roman" w:cs="Times New Roman"/>
              </w:rPr>
              <w:t>依赖的自噬途径和抑制</w:t>
            </w:r>
            <w:r w:rsidRPr="00082425">
              <w:rPr>
                <w:rFonts w:ascii="Times New Roman" w:eastAsia="宋体" w:hAnsi="Times New Roman" w:cs="Times New Roman"/>
              </w:rPr>
              <w:t>β-</w:t>
            </w:r>
            <w:r w:rsidRPr="00082425">
              <w:rPr>
                <w:rFonts w:ascii="Times New Roman" w:eastAsia="宋体" w:hAnsi="Times New Roman" w:cs="Times New Roman"/>
              </w:rPr>
              <w:t>连环蛋白信号通路，保护人主动脉平滑肌细胞免受</w:t>
            </w:r>
            <w:r w:rsidRPr="00082425">
              <w:rPr>
                <w:rFonts w:ascii="Times New Roman" w:eastAsia="宋体" w:hAnsi="Times New Roman" w:cs="Times New Roman"/>
              </w:rPr>
              <w:t>β-</w:t>
            </w:r>
            <w:r w:rsidRPr="00082425">
              <w:rPr>
                <w:rFonts w:ascii="Times New Roman" w:eastAsia="宋体" w:hAnsi="Times New Roman" w:cs="Times New Roman"/>
              </w:rPr>
              <w:t>甘油磷酸盐</w:t>
            </w:r>
            <w:proofErr w:type="gramStart"/>
            <w:r w:rsidRPr="00082425">
              <w:rPr>
                <w:rFonts w:ascii="Times New Roman" w:eastAsia="宋体" w:hAnsi="Times New Roman" w:cs="Times New Roman"/>
              </w:rPr>
              <w:t>介</w:t>
            </w:r>
            <w:proofErr w:type="gramEnd"/>
            <w:r w:rsidRPr="00082425">
              <w:rPr>
                <w:rFonts w:ascii="Times New Roman" w:eastAsia="宋体" w:hAnsi="Times New Roman" w:cs="Times New Roman"/>
              </w:rPr>
              <w:t>导的血管钙化和凋亡的影响</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{"citationID":"CUaWJfox","properties":{"formattedCitation":"\\super [45]\\nosupersub{}","plainCitation":"[45]","noteIndex":0},"citationItems":[{"id":6076,"uris":["http://zotero.org/users/8103267/items/ZRG25PWF"],"itemData":{"id":6076,"type":"article-journal","abstract":"Non-alcoholic fatty liver disease (NAFLD) is a major health concern worldwide, and the incidence of metabolic disorders associated with NAFLD is rapidly increasing because of the obesity epidemic. There are currently no approved drugs that prevent or treat NAFLD. Recent evidence shows that bavachin, a flavonoid isolated from the seeds and fruits of Psoralea corylifolia L., increases the transcriptional activity of PPARγ and insulin sensitivity during preadipocyte differentiation, but the effect of bavachin on glucose and lipid metabolism remains unclear. In the current study we investigated the effects of bavachin on obesity-associated NAFLD in vivo and in vitro. In mouse primary hepatocytes and Huh7 cells, treatment with bavachin (20 μM) significantly suppressed PA/OA or high glucose/high insulin-induced increases in the expression of fatty acid synthesis-related genes and the number and size of lipid droplets. Furthermore, bavachin treatment markedly elevated the phosphorylation levels of AKT and GSK-3β, improving the insulin signaling activity in the cells. In HFD-induced obese mice, administration of bavachin (30 mg/kg, i.p. every other day for 8 weeks) efficiently attenuated the increases in body weight, liver weight, blood glucose, and liver and serum triglyceride contents. Moreover, bavachin administration significantly alleviated hepatic inflammation and ameliorated HFD-induced glucose intolerance and insulin resistance. We demonstrated that bavachin protected against HFD-induced obesity by inducing fat thermogenesis and browning subcutaneous white adipose tissue (subWAT). We revealed that bavachin repressed the expression of lipid synthesis genes in the liver of obese mice, while promoting the expression of thermogenesis, browning, and mitochondrial respiration-related genes in subWAT and brown adipose tissue (BAT) in the mice. In conclusion, bavachin attenuates hepatic steatosis and obesity by repressing de novo lipogenesis, inducing fat thermogenesis and browning subWAT, suggesting that bavachin is a potential drug for NAFLD therapy.","container-title":"Acta Pharmacologica Sinica","DOI":"10.1038/s41401-023-01056-z","ISSN":"1745-7254","issue":"7","journalAbbreviation":"Acta Pharmacol Sin","language":"eng","page":"1416-1428","PMID":"36721007","PMCID":"PMC10310714","source":"PubMed","title":"Bavachin protects against diet-induced hepatic steatosis and obesity in mice","volume":"44","author":[{"family":"Wei","given":"Xiang"},{"family":"Lin","given":"Li"},{"family":"Yuan","given":"Qian-Qian"},{"family":"Wang","given":"Xiu-Yun"},{"family":"Zhang","given":"Qing"},{"family":"Zhang","given":"Xiao-Min"},{"family":"Tang","given":"Ke-Chao"},{"family":"Guo","given":"Man-Yu"},{"family":"Dong","given":"Ting-Yu"},{"family":"Han","given":"Wei"},{"family":"Huang","given":"Da-Ke"},{"family":"Qi","given":"Yin-Liang"},{"family":"Zhang","given":"Mei"},{"family":"Zhang","given":"Hua-Bing"}],"issued":{"date-parts":[["2023",7]]}}}],"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[45]</w:t>
            </w:r>
            <w:r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还通过</w:t>
            </w:r>
            <w:r w:rsidRPr="00082425">
              <w:rPr>
                <w:rFonts w:ascii="Times New Roman" w:eastAsia="宋体" w:hAnsi="Times New Roman" w:cs="Times New Roman"/>
              </w:rPr>
              <w:lastRenderedPageBreak/>
              <w:t>抑制</w:t>
            </w:r>
            <w:r w:rsidRPr="00082425">
              <w:rPr>
                <w:rFonts w:ascii="Times New Roman" w:eastAsia="宋体" w:hAnsi="Times New Roman" w:cs="Times New Roman"/>
              </w:rPr>
              <w:t>NLRP3</w:t>
            </w:r>
            <w:r w:rsidRPr="00082425">
              <w:rPr>
                <w:rFonts w:ascii="Times New Roman" w:eastAsia="宋体" w:hAnsi="Times New Roman" w:cs="Times New Roman"/>
              </w:rPr>
              <w:t>炎性小体的激活，减轻了</w:t>
            </w:r>
            <w:r w:rsidRPr="00082425">
              <w:rPr>
                <w:rFonts w:ascii="Times New Roman" w:eastAsia="宋体" w:hAnsi="Times New Roman" w:cs="Times New Roman"/>
              </w:rPr>
              <w:t>LPS</w:t>
            </w:r>
            <w:r w:rsidRPr="00082425">
              <w:rPr>
                <w:rFonts w:ascii="Times New Roman" w:eastAsia="宋体" w:hAnsi="Times New Roman" w:cs="Times New Roman"/>
              </w:rPr>
              <w:t>诱导的炎症反应，显示出其在治疗炎症性和自身免疫性疾病中的潜力</w:t>
            </w:r>
            <w:r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{"citationID":"bLi5VRnz","properties":{"formattedCitation":"\\super [46]\\nosupersub{}","plainCitation":"[46]","noteIndex":0},"citationItems":[{"id":6078,"uris":["http://zotero.org/users/8103267/items/4UKLA65R"],"itemData":{"id":6078,"type":"article-journal","abstract":"BACKGROUND: Bavachin is a natural product isolated from Psoralea corylifolia L. that has been applied as a traditional medicine in Asian countries. However, the anti-inflammatory effects of bavachin on LPS-induced inflammation and NLRP3 inflammasome activation by macrophages remain unclear.\nPURPOSE: We investigated the anti-inflammatory effects of bavachin on LPS-activated murine macrophage cell line J774A.1 cells and murine peritoneal macrophages.\nMETHODS: J774A.1 cells and murine peritoneal macrophages were pre-treated with bavachin following LPS treatment. The concentrations of NO, PGE2, IL-6 and IL-12p40 in cell culture supernatant were analyzed. The expressions of iNOS, COX-2, mPGES-1 and MAPKs were analyzed using Western blotting, while NF-κB activity was detected using promoter reporter assay. To examine the activation of NLRP3 inflammasome, J774A.1 cells were incubated with LPS, and then treated with bavachin following treatment with ATP. The concentration of IL-1β in the cell culture supernatant was measured. The expressions of NLRP3, ASC, caspase-1 and IL-1β were analyzed using Western blotting. The formation of inflammasome complex was observed by immunofluorescence microscopy.\nRESULTS: Bavachin suppressed LPS-induced NO and PGE2 production, and decreased iNOS and mPGES-1 expression. Bavachin also reduced LPS-induced IL-6 and IL-12p40 production and decreased the activation of MAPKs and NF-κB. Additionally, bavachin suppressed NLRP3 inflammasome-derived IL-1β secretion, decreased caspase-1 activation, repressed mature IL-1β expression, and inhibited inflammasome complex formation. Furthermore, bavachin also suppressed the production of NO, IL-6 and IL-12p40 by LPS-stimulated murine peritoneal macrophages.\nCONCLUSION: Our experimental results indicated anti-inflammatory effects of bavachin exhibit attenuation of LPS-induced inflammation and inhibit activation of NLRP3 inflammasome in macrophages. These results suggest that bavachin might have potential in treating inflammatory and autoimmune diseases.","container-title":"Phytomedicine: International Journal of Phytotherapy and Phytopharmacology","DOI":"10.1016/j.phymed.2018.12.008","ISSN":"1618-095X","journalAbbreviation":"Phytomedicine","language":"eng","page":"152785","PMID":"31009850","source":"PubMed","title":"Bavachin attenuates LPS-induced inflammatory response and inhibits the activation of NLRP3 inflammasome in macrophages","volume":"59","author":[{"family":"Hung","given":"Yung-Li"},{"family":"Wang","given":"Shu-Chi"},{"family":"Suzuki","given":"Katsuhiko"},{"family":"Fang","given":"Shih-Hua"},{"family":"Chen","given":"Chi-Shuo"},{"family":"Cheng","given":"Wei-Chung"},{"family":"Su","given":"Chia-Cheng"},{"family":"Yeh","given":"Hsin-Chih"},{"family":"Tu","given":"Hung-Pin"},{"family":"Liu","given":"Po-Len"},{"family":"Huang","given":"Ming-Yii"},{"family":"Li","given":"Chia-Yang"}],"issued":{"date-parts":[["2019",6]]}}}],"schema":"https://github.com/citation-style-language/schema/raw/master/csl-citation.json"} </w:instrText>
            </w:r>
            <w:r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[46]</w:t>
            </w:r>
            <w:r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43D0B8EA" w14:textId="0BC58223" w:rsidR="00654CEC" w:rsidRPr="00082425" w:rsidRDefault="00654CEC" w:rsidP="00654CEC">
            <w:pPr>
              <w:spacing w:line="360" w:lineRule="auto"/>
              <w:rPr>
                <w:rFonts w:ascii="Times New Roman" w:eastAsia="宋体" w:hAnsi="Times New Roman" w:cs="Times New Roman"/>
              </w:rPr>
            </w:pPr>
            <w:r w:rsidRPr="00082425">
              <w:rPr>
                <w:rFonts w:ascii="Times New Roman" w:eastAsia="宋体" w:hAnsi="Times New Roman" w:cs="Times New Roman"/>
              </w:rPr>
              <w:t>在免疫调节方面，</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通过激活</w:t>
            </w:r>
            <w:r w:rsidRPr="00082425">
              <w:rPr>
                <w:rFonts w:ascii="Times New Roman" w:eastAsia="宋体" w:hAnsi="Times New Roman" w:cs="Times New Roman"/>
              </w:rPr>
              <w:t>NFAT</w:t>
            </w:r>
            <w:r w:rsidRPr="00082425">
              <w:rPr>
                <w:rFonts w:ascii="Times New Roman" w:eastAsia="宋体" w:hAnsi="Times New Roman" w:cs="Times New Roman"/>
              </w:rPr>
              <w:t>信号通路，增强了</w:t>
            </w:r>
            <w:r w:rsidRPr="00082425">
              <w:rPr>
                <w:rFonts w:ascii="Times New Roman" w:eastAsia="宋体" w:hAnsi="Times New Roman" w:cs="Times New Roman"/>
              </w:rPr>
              <w:t>T</w:t>
            </w:r>
            <w:r w:rsidRPr="00082425">
              <w:rPr>
                <w:rFonts w:ascii="Times New Roman" w:eastAsia="宋体" w:hAnsi="Times New Roman" w:cs="Times New Roman"/>
              </w:rPr>
              <w:t>细胞的活化和抗原特异性免疫反应，显示出其作为免疫佐剂的潜力</w:t>
            </w:r>
            <w:r w:rsidR="00146034"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{"citationID":"6kIpX8Wb","properties":{"formattedCitation":"\\super [47]\\nosupersub{}","plainCitation":"[47]","noteIndex":0},"citationItems":[{"id":6080,"uris":["http://zotero.org/users/8103267/items/8E9LU47N"],"itemData":{"id":6080,"type":"article-journal","abstract":"BACKGROUND: Bavachin, a flavonoid compound isolated from the seeds and fruits of Psoralea corylifolia l. (family Fabaceae), is used as a traditional medicine in Asia. Indeed, it is reported to have various medicinal functions such as estrogenic and antiinflammatory activities among others. However, to date, the effects of bavachin on T cell activation have yet to be reported.\nPURPOSE AND STUDY DESIGN: We aimed to determine the effects of bavachin on the activation of a human T cell line in vitro and on antigen-specific immune responses in mice in vivo.\nMETHODS: In a nuclear factor of activated T cells (NFAT) activity assay, the Jurkat T cell line expressing a luciferase reporter driven by an NFAT-response element was stimulated with antihuman CD3/CD28 antibody and bavachin. Furthermore, the level of cytokine production was measured in the Jurkat T cell line stimulated with phorbol 12-myristate 13-acetate/ionomycin and bavachin using an IL-2 ELISA and a cytometric bead array assay. For in vivo analyses, mice were subcutaneously immunized with an antigen (ovalbumin protein) and bavachin, and the immune responses of mice were analyzed by FACS analysis, a T cell proliferation assay, a cytokine ELISA, and an antiovalbumin-specific antibody ELISA.\nRESULTS: We found that bavachin activated NFAT-mediated transcription in the human T cell line in vitro. In mice, when bavachin was administered with the antigen, an increase in T cell responses and antibody production specific to the antigen was observed.\nCONCLUSION: Our results suggest that bavachin has immunoadjuvant and immunomodulation effects, which arise through activation of the NFAT signaling pathway.","container-title":"Phytomedicine: International Journal of Phytotherapy and Phytopharmacology","DOI":"10.1016/j.phymed.2021.153796","ISSN":"1618-095X","journalAbbreviation":"Phytomedicine","language":"eng","page":"153796","PMID":"34689117","source":"PubMed","title":"Bavachin produces immunoadjuvant activity by targeting the NFAT signaling pathway","volume":"93","author":[{"family":"Jin","given":"Young-Hee"},{"family":"Kim","given":"Dong Eon"},{"family":"Jang","given":"Min Seong"},{"family":"Min","given":"Jung Sun"},{"family":"Kwon","given":"Sunoh"}],"issued":{"date-parts":[["2021",12]]}}}],"schema":"https://github.com/citation-style-language/schema/raw/master/csl-citation.json"} </w:instrText>
            </w:r>
            <w:r w:rsidR="00146034"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[47]</w:t>
            </w:r>
            <w:r w:rsidR="00146034" w:rsidRPr="00082425">
              <w:rPr>
                <w:rFonts w:ascii="Times New Roman" w:eastAsia="宋体" w:hAnsi="Times New Roman" w:cs="Times New Roman"/>
              </w:rPr>
              <w:fldChar w:fldCharType="end"/>
            </w:r>
            <w:r w:rsidRPr="00082425">
              <w:rPr>
                <w:rFonts w:ascii="Times New Roman" w:eastAsia="宋体" w:hAnsi="Times New Roman" w:cs="Times New Roman"/>
              </w:rPr>
              <w:t>。此外，</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还通过调节</w:t>
            </w:r>
            <w:r w:rsidRPr="00082425">
              <w:rPr>
                <w:rFonts w:ascii="Times New Roman" w:eastAsia="宋体" w:hAnsi="Times New Roman" w:cs="Times New Roman"/>
              </w:rPr>
              <w:t>A20</w:t>
            </w:r>
            <w:proofErr w:type="gramStart"/>
            <w:r w:rsidRPr="00082425">
              <w:rPr>
                <w:rFonts w:ascii="Times New Roman" w:eastAsia="宋体" w:hAnsi="Times New Roman" w:cs="Times New Roman"/>
              </w:rPr>
              <w:t>泛素编辑</w:t>
            </w:r>
            <w:proofErr w:type="gramEnd"/>
            <w:r w:rsidRPr="00082425">
              <w:rPr>
                <w:rFonts w:ascii="Times New Roman" w:eastAsia="宋体" w:hAnsi="Times New Roman" w:cs="Times New Roman"/>
              </w:rPr>
              <w:t>复合物，抑制</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信号通路，从而发挥抗神经炎症的作用，这为其在神经系统疾病中的应用提供了新的思路</w:t>
            </w:r>
            <w:r w:rsidR="00146034"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{"citationID":"UjxSMXuP","properties":{"formattedCitation":"\\super [48]\\nosupersub{}","plainCitation":"[48]","noteIndex":0},"citationItems":[{"id":6082,"uris":["http://zotero.org/users/8103267/items/UR4GAVTG"],"itemData":{"id":6082,"type":"article-journal","abstract":"Neuroinflammation is a major pathophysiological contributor to the progression of the central nervous system disorders. Bavachin is a natural product belonging to the flavonoid class. The anti-neuroinflammatory effect and the molecular mechanisms are not well understood. In this study, we found bavachin can exert anti-neuroinflammatory effect via inhibition of nuclear factor-kappa B (NF-κB) signaling. We found that bavachin can obviously upregulate the expression of A20 (TNFAIP3) in microglial cells. Further studies suggested siRNA-A20 knockdown treatment can attenuate the inhibitory effects of bavachin on neuroinflammation. We further found bavachin can increase the interaction of ubiquitin-editing enzyme A20 complex including A20, Tax1-binding protein 1 (TAX1BP1) and Itch, the subsequently downregulated the K63-ubiquitination of TNF receptor associated factor 6 (TRAF6) and NF-κB signaling pathway. Altogether, our results indicated that bavachin exerted anti-neuroinflammatory effects through inhibition of NF-κB signaling mediated by regulation of ubiquitin-editing enzyme A20 complex. Our finding has important clinical significance for the potential application of bavachin in the treatment of neurological disorders.","container-title":"International Immunopharmacology","DOI":"10.1016/j.intimp.2021.108085","ISSN":"1878-1705","journalAbbreviation":"Int Immunopharmacol","language":"eng","page":"108085","PMID":"34454289","source":"PubMed","title":"Bavachin exerted anti-neuroinflammatory effects by regulation of A20 ubiquitin-editing complex","volume":"100","author":[{"family":"Wang","given":"Yayun"},{"family":"Yang","given":"Zhiping"},{"family":"Wang","given":"Qingchen"},{"family":"Ren","given":"Yan"},{"family":"Wang","given":"Qiaoyun"},{"family":"Li","given":"Zhipeng"}],"issued":{"date-parts":[["2021",11]]}}}],"schema":"https://github.com/citation-style-language/schema/raw/master/csl-citation.json"} </w:instrText>
            </w:r>
            <w:r w:rsidR="00146034"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[48]</w:t>
            </w:r>
            <w:r w:rsidR="00146034"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3952D44E" w14:textId="43EE015B" w:rsidR="00654CEC" w:rsidRPr="00082425" w:rsidRDefault="00654CEC" w:rsidP="00654CEC">
            <w:pPr>
              <w:spacing w:line="360" w:lineRule="auto"/>
              <w:rPr>
                <w:rFonts w:ascii="Times New Roman" w:eastAsia="宋体" w:hAnsi="Times New Roman" w:cs="Times New Roman"/>
              </w:rPr>
            </w:pPr>
            <w:r w:rsidRPr="00082425">
              <w:rPr>
                <w:rFonts w:ascii="Times New Roman" w:eastAsia="宋体" w:hAnsi="Times New Roman" w:cs="Times New Roman"/>
              </w:rPr>
              <w:t>在</w:t>
            </w:r>
            <w:r w:rsidR="00FE0C39" w:rsidRPr="00082425">
              <w:rPr>
                <w:rFonts w:ascii="Times New Roman" w:eastAsia="宋体" w:hAnsi="Times New Roman" w:cs="Times New Roman"/>
              </w:rPr>
              <w:t>抗肿瘤</w:t>
            </w:r>
            <w:r w:rsidRPr="00082425">
              <w:rPr>
                <w:rFonts w:ascii="Times New Roman" w:eastAsia="宋体" w:hAnsi="Times New Roman" w:cs="Times New Roman"/>
              </w:rPr>
              <w:t>领域，</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通过抑制</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和</w:t>
            </w:r>
            <w:r w:rsidRPr="00082425">
              <w:rPr>
                <w:rFonts w:ascii="Times New Roman" w:eastAsia="宋体" w:hAnsi="Times New Roman" w:cs="Times New Roman"/>
              </w:rPr>
              <w:t>STAT3</w:t>
            </w:r>
            <w:r w:rsidRPr="00082425">
              <w:rPr>
                <w:rFonts w:ascii="Times New Roman" w:eastAsia="宋体" w:hAnsi="Times New Roman" w:cs="Times New Roman"/>
              </w:rPr>
              <w:t>的激活，诱导多发性骨髓瘤细胞系的凋亡，显示出其作为</w:t>
            </w:r>
            <w:r w:rsidR="00FE0C39" w:rsidRPr="00082425">
              <w:rPr>
                <w:rFonts w:ascii="Times New Roman" w:eastAsia="宋体" w:hAnsi="Times New Roman" w:cs="Times New Roman"/>
              </w:rPr>
              <w:t>抗肿瘤</w:t>
            </w:r>
            <w:r w:rsidRPr="00082425">
              <w:rPr>
                <w:rFonts w:ascii="Times New Roman" w:eastAsia="宋体" w:hAnsi="Times New Roman" w:cs="Times New Roman"/>
              </w:rPr>
              <w:t>剂的潜力。此外，</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还通过激活</w:t>
            </w:r>
            <w:r w:rsidRPr="00082425">
              <w:rPr>
                <w:rFonts w:ascii="Times New Roman" w:eastAsia="宋体" w:hAnsi="Times New Roman" w:cs="Times New Roman"/>
              </w:rPr>
              <w:t>MAPK</w:t>
            </w:r>
            <w:r w:rsidRPr="00082425">
              <w:rPr>
                <w:rFonts w:ascii="Times New Roman" w:eastAsia="宋体" w:hAnsi="Times New Roman" w:cs="Times New Roman"/>
              </w:rPr>
              <w:t>信号通路，诱导结直肠癌细胞的凋亡，进一步验证了其</w:t>
            </w:r>
            <w:r w:rsidR="00FE0C39" w:rsidRPr="00082425">
              <w:rPr>
                <w:rFonts w:ascii="Times New Roman" w:eastAsia="宋体" w:hAnsi="Times New Roman" w:cs="Times New Roman"/>
              </w:rPr>
              <w:t>抗肿瘤</w:t>
            </w:r>
            <w:r w:rsidRPr="00082425">
              <w:rPr>
                <w:rFonts w:ascii="Times New Roman" w:eastAsia="宋体" w:hAnsi="Times New Roman" w:cs="Times New Roman"/>
              </w:rPr>
              <w:t>活性</w:t>
            </w:r>
            <w:r w:rsidR="00CB0E41"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{"citationID":"rCcj3zJg","properties":{"formattedCitation":"\\super [49]\\nosupersub{}","plainCitation":"[49]","noteIndex":0},"citationItems":[{"id":6086,"uris":["http://zotero.org/users/8103267/items/CM9K8QGA"],"itemData":{"id":6086,"type":"article-journal","abstract":"Bavachin is a dihydroflavonoid compound isolated from Psoralea corylifolia, and exhibits anti-bacterial, anti-inflammatory, anti-tumor and lipid-lowering activities. Recent attention has gradually drawn on bavachin-induced apoptosis in many human cancer cell lines. However, the anti-cancer effects and related mechanisms in colorectal cancer remain unknown. Here, we investigated the effects of bavachin on colorectal cancer in vivo and in vitro. The results showed that bavachin inhibited the proliferation of human colorectal cancer cells and induce apoptosis. These changes were mediated by activating the MAPK signaling pathway, which significantly up-regulated the expression of Gadd45a. Furthermore, Gadd45a silencing obviously attenuated bavachin-mediated cell apoptosis. Inhibition of the MAPK signaling pathway by JNK/ERK/p38 inhibitors also weakened the up-regulation of Gadd45a by bavachin. The anticancer effect of bavachin was also validated using a mouse xenograft model of human colorectal cancer. In conclusion, these findings suggest that bavachin induces the apoptosis of colorectal cancer cells through activating the MAPK signaling pathway.","container-title":"Chinese Journal of Natural Medicines","DOI":"10.1016/S1875-5364(23)60383-8","ISSN":"1875-5364","issue":"1","journalAbbreviation":"Chin J Nat Med","language":"eng","page":"36-46","PMID":"36641231","source":"PubMed","title":"Bavachin induces apoptosis in colorectal cancer cells through Gadd45a via the MAPK signaling pathway","volume":"21","author":[{"family":"Wang","given":"Mengru"},{"family":"Tian","given":"Baopeng"},{"family":"Shen","given":"Jie"},{"family":"Xu","given":"Shilin"},{"family":"Liu","given":"Cong"},{"family":"Guan","given":"Ling"},{"family":"Guo","given":"Min"},{"family":"Dou","given":"Jie"}],"issued":{"date-parts":[["2023",1]]}}}],"schema":"https://github.com/citation-style-language/schema/raw/master/csl-citation.json"} </w:instrText>
            </w:r>
            <w:r w:rsidR="00CB0E41"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[49]</w:t>
            </w:r>
            <w:r w:rsidR="00CB0E41" w:rsidRPr="00082425">
              <w:rPr>
                <w:rFonts w:ascii="Times New Roman" w:eastAsia="宋体" w:hAnsi="Times New Roman" w:cs="Times New Roman"/>
              </w:rPr>
              <w:fldChar w:fldCharType="end"/>
            </w:r>
            <w:r w:rsidRPr="00082425">
              <w:rPr>
                <w:rFonts w:ascii="Times New Roman" w:eastAsia="宋体" w:hAnsi="Times New Roman" w:cs="Times New Roman"/>
              </w:rPr>
              <w:t>。</w:t>
            </w:r>
          </w:p>
          <w:p w14:paraId="52FEBE36" w14:textId="66F4A873" w:rsidR="001829EB" w:rsidRPr="00082425" w:rsidRDefault="00654CEC" w:rsidP="00A872CD">
            <w:pPr>
              <w:spacing w:line="360" w:lineRule="auto"/>
              <w:rPr>
                <w:rFonts w:ascii="Times New Roman" w:eastAsia="宋体" w:hAnsi="Times New Roman" w:cs="Times New Roman"/>
              </w:rPr>
            </w:pPr>
            <w:r w:rsidRPr="00082425">
              <w:rPr>
                <w:rFonts w:ascii="Times New Roman" w:eastAsia="宋体" w:hAnsi="Times New Roman" w:cs="Times New Roman"/>
              </w:rPr>
              <w:t>综上所述，</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作为一种多功能的天然化合物，展现出广泛的生物活性和潜在的临床应用价值。然而，其在不同剂量下的肝毒性也需要进一步研究，以确保其在临床应用中的安全性和有效性</w:t>
            </w:r>
            <w:r w:rsidR="00CB0E41" w:rsidRPr="00082425">
              <w:rPr>
                <w:rFonts w:ascii="Times New Roman" w:eastAsia="宋体" w:hAnsi="Times New Roman" w:cs="Times New Roman"/>
              </w:rPr>
              <w:fldChar w:fldCharType="begin"/>
            </w:r>
            <w:r w:rsidR="009E53C2" w:rsidRPr="00082425">
              <w:rPr>
                <w:rFonts w:ascii="Times New Roman" w:eastAsia="宋体" w:hAnsi="Times New Roman" w:cs="Times New Roman"/>
              </w:rPr>
              <w:instrText xml:space="preserve"> ADDIN ZOTERO_ITEM CSL_CITATION {"citationID":"RF6ce8Zt","properties":{"formattedCitation":"\\super [50]\\nosupersub{}","plainCitation":"[50]","noteIndex":0},"citationItems":[{"id":6088,"uris":["http://zotero.org/users/8103267/items/P2PKYFTZ"],"itemData":{"id":6088,"type":"article-journal","abstract":"Psoraleae Fructus (PF) is a well-known traditional herbal medicine in China, and it is widely used for osteoporosis, vitiligo, and other diseases in clinical settings. However, liver injury caused by PF and its preparations has been frequently reported in recent years. Our previous studies have demonstrated that PF could cause idiosyncratic drug-induced liver injury (IDILI), but the mechanism underlying its hepatotoxicity remains unclear. This paper reports that bavachin isolated from PF enhances the specific stimuli-induced activation of the NLRP3 inflammasome and leads to hepatotoxicity. Bavachin boosts the secretion of IL-1β and caspase-1 caused by ATP or nigericin but not those induced by poly(I:C), monosodium urate crystal, or intracellular lipopolysaccharide. Bavachin does not affect AIM2 or NLRC4 inflammasome activation. Mechanistically, bavachin specifically increases the production of nigericin-induced mitochondrial reactive oxygen species among the most important upstream events in the activation of the NLRP3 inflammasome. Bavachin increases the levels of aspartate transaminase and alanine aminotransferase in serum and hepatocyte injury accompanied by the secretion of IL-1β via a mouse model of lipopolysaccharide-mediated susceptibility to IDILI. These results suggest that bavachin specifically enhances the ATP- or nigericin-induced activation of the NLRP3 inflammasome. Bavachin also potentially contributes to PF-induced idiosyncratic hepatotoxicity. Moreover, bavachin and PF should be evaded among patients with diseases linked to the ATP- or nigericin-mediated activation of the NLRP3 inflammasome, which may be a dangerous factor for liver injury.","container-title":"Frontiers of Medicine","DOI":"10.1007/s11684-020-0809-2","ISSN":"2095-0225","issue":"4","journalAbbreviation":"Front Med","language":"eng","page":"594-607","PMID":"33909257","source":"PubMed","title":"Bavachin enhances NLRP3 inflammasome activation induced by ATP or nigericin and causes idiosyncratic hepatotoxicity","volume":"15","author":[{"family":"Qin","given":"Nan"},{"family":"Xu","given":"Guang"},{"family":"Wang","given":"Yan"},{"family":"Zhan","given":"Xiaoyan"},{"family":"Gao","given":"Yuan"},{"family":"Wang","given":"Zhilei"},{"family":"Fu","given":"Shubin"},{"family":"Shi","given":"Wei"},{"family":"Hou","given":"Xiaorong"},{"family":"Wang","given":"Chunyu"},{"family":"Li","given":"Ruisheng"},{"family":"Liu","given":"Yan"},{"family":"Wang","given":"Jiabo"},{"family":"Zhao","given":"Haiping"},{"family":"Xiao","given":"Xiaohe"},{"family":"Bai","given":"Zhaofang"}],"issued":{"date-parts":[["2021",8]]}}}],"schema":"https://github.com/citation-style-language/schema/raw/master/csl-citation.json"} </w:instrText>
            </w:r>
            <w:r w:rsidR="00CB0E41" w:rsidRPr="00082425">
              <w:rPr>
                <w:rFonts w:ascii="Times New Roman" w:eastAsia="宋体" w:hAnsi="Times New Roman" w:cs="Times New Roman"/>
              </w:rPr>
              <w:fldChar w:fldCharType="separate"/>
            </w:r>
            <w:r w:rsidR="009E53C2" w:rsidRPr="00082425">
              <w:rPr>
                <w:rFonts w:ascii="Times New Roman" w:eastAsia="等线" w:hAnsi="Times New Roman" w:cs="Times New Roman"/>
                <w:kern w:val="0"/>
                <w:vertAlign w:val="superscript"/>
              </w:rPr>
              <w:t>[50]</w:t>
            </w:r>
            <w:r w:rsidR="00CB0E41" w:rsidRPr="00082425">
              <w:rPr>
                <w:rFonts w:ascii="Times New Roman" w:eastAsia="宋体" w:hAnsi="Times New Roman" w:cs="Times New Roman"/>
              </w:rPr>
              <w:fldChar w:fldCharType="end"/>
            </w:r>
            <w:r w:rsidRPr="00082425">
              <w:rPr>
                <w:rFonts w:ascii="Times New Roman" w:eastAsia="宋体" w:hAnsi="Times New Roman" w:cs="Times New Roman"/>
              </w:rPr>
              <w:t>。未来的研究应继续探索</w:t>
            </w:r>
            <w:r w:rsidR="00E82300" w:rsidRPr="00082425">
              <w:rPr>
                <w:rFonts w:ascii="Times New Roman" w:eastAsia="宋体" w:hAnsi="Times New Roman" w:cs="Times New Roman"/>
              </w:rPr>
              <w:t>补骨脂异黄酮</w:t>
            </w:r>
            <w:r w:rsidRPr="00082425">
              <w:rPr>
                <w:rFonts w:ascii="Times New Roman" w:eastAsia="宋体" w:hAnsi="Times New Roman" w:cs="Times New Roman"/>
              </w:rPr>
              <w:t>的分子机制和临床应用，以期为多种慢性疾病提供新的治疗策略。</w:t>
            </w:r>
          </w:p>
        </w:tc>
      </w:tr>
      <w:tr w:rsidR="004E7B66" w:rsidRPr="00082425" w14:paraId="270E2037" w14:textId="77777777" w:rsidTr="00EF2D00">
        <w:tc>
          <w:tcPr>
            <w:tcW w:w="829" w:type="dxa"/>
            <w:tcBorders>
              <w:bottom w:val="single" w:sz="4" w:space="0" w:color="auto"/>
            </w:tcBorders>
          </w:tcPr>
          <w:p w14:paraId="3954919A" w14:textId="3DAFF937"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lastRenderedPageBreak/>
              <w:t>12</w:t>
            </w:r>
          </w:p>
        </w:tc>
        <w:tc>
          <w:tcPr>
            <w:tcW w:w="3355" w:type="dxa"/>
            <w:tcBorders>
              <w:bottom w:val="single" w:sz="4" w:space="0" w:color="auto"/>
            </w:tcBorders>
          </w:tcPr>
          <w:p w14:paraId="22F89A02" w14:textId="77777777" w:rsidR="004E7B66" w:rsidRPr="00082425" w:rsidRDefault="004E7B66" w:rsidP="004E7B66">
            <w:pPr>
              <w:spacing w:line="360" w:lineRule="exact"/>
              <w:rPr>
                <w:rFonts w:ascii="Times New Roman" w:eastAsia="宋体" w:hAnsi="Times New Roman" w:cs="Times New Roman"/>
                <w:color w:val="000000"/>
                <w:szCs w:val="22"/>
                <w:lang w:val="pt-BR"/>
              </w:rPr>
            </w:pPr>
            <w:r w:rsidRPr="00082425">
              <w:rPr>
                <w:rFonts w:ascii="Times New Roman" w:eastAsia="宋体" w:hAnsi="Times New Roman" w:cs="Times New Roman"/>
                <w:color w:val="000000"/>
                <w:szCs w:val="22"/>
              </w:rPr>
              <w:t>补骨脂异黄酮</w:t>
            </w:r>
          </w:p>
          <w:p w14:paraId="7C628CC5" w14:textId="36390F33" w:rsidR="004E7B66" w:rsidRPr="00082425" w:rsidRDefault="004E7B66" w:rsidP="004E7B66">
            <w:pPr>
              <w:spacing w:line="360" w:lineRule="exact"/>
              <w:rPr>
                <w:rFonts w:ascii="Times New Roman" w:eastAsia="宋体" w:hAnsi="Times New Roman" w:cs="Times New Roman"/>
                <w:color w:val="000000"/>
                <w:szCs w:val="22"/>
              </w:rPr>
            </w:pPr>
            <w:r w:rsidRPr="00082425">
              <w:rPr>
                <w:rFonts w:ascii="Times New Roman" w:eastAsia="宋体" w:hAnsi="Times New Roman" w:cs="Times New Roman"/>
                <w:color w:val="000000"/>
                <w:szCs w:val="22"/>
                <w:lang w:val="pt-BR"/>
              </w:rPr>
              <w:t>Corylin</w:t>
            </w:r>
          </w:p>
        </w:tc>
        <w:tc>
          <w:tcPr>
            <w:tcW w:w="10133" w:type="dxa"/>
            <w:tcBorders>
              <w:bottom w:val="single" w:sz="4" w:space="0" w:color="auto"/>
            </w:tcBorders>
          </w:tcPr>
          <w:p w14:paraId="4608F483" w14:textId="77777777" w:rsidR="004E7B66" w:rsidRPr="00082425" w:rsidRDefault="004E7B66" w:rsidP="004E7B66">
            <w:pPr>
              <w:spacing w:line="360" w:lineRule="auto"/>
              <w:rPr>
                <w:rFonts w:ascii="Times New Roman" w:eastAsia="宋体" w:hAnsi="Times New Roman" w:cs="Times New Roman"/>
              </w:rPr>
            </w:pPr>
            <w:r w:rsidRPr="00082425">
              <w:rPr>
                <w:rFonts w:ascii="Times New Roman" w:eastAsia="宋体" w:hAnsi="Times New Roman" w:cs="Times New Roman"/>
              </w:rPr>
              <w:t>其生物活性包括在抗肿瘤、抗炎、抗氧化等多种作用。</w:t>
            </w:r>
          </w:p>
          <w:p w14:paraId="60992F63" w14:textId="1193AC03"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在抗肿瘤方面，在卵巢癌细胞</w:t>
            </w:r>
            <w:r w:rsidRPr="00082425">
              <w:rPr>
                <w:rFonts w:ascii="Times New Roman" w:eastAsia="宋体" w:hAnsi="Times New Roman" w:cs="Times New Roman"/>
                <w:lang w:val="pt-BR"/>
              </w:rPr>
              <w:t>SKOV3</w:t>
            </w:r>
            <w:r w:rsidRPr="00082425">
              <w:rPr>
                <w:rFonts w:ascii="Times New Roman" w:eastAsia="宋体" w:hAnsi="Times New Roman" w:cs="Times New Roman"/>
                <w:lang w:val="pt-BR"/>
              </w:rPr>
              <w:t>中，补骨脂异黄酮通过诱导细胞凋亡和</w:t>
            </w:r>
            <w:r w:rsidRPr="00082425">
              <w:rPr>
                <w:rFonts w:ascii="Times New Roman" w:eastAsia="宋体" w:hAnsi="Times New Roman" w:cs="Times New Roman"/>
                <w:lang w:val="pt-BR"/>
              </w:rPr>
              <w:t>G0/G1</w:t>
            </w:r>
            <w:r w:rsidRPr="00082425">
              <w:rPr>
                <w:rFonts w:ascii="Times New Roman" w:eastAsia="宋体" w:hAnsi="Times New Roman" w:cs="Times New Roman"/>
                <w:lang w:val="pt-BR"/>
              </w:rPr>
              <w:t>期细胞周期阻滞，显著抑制了癌细胞的增殖和克隆形成能力。这一过程涉及到补骨脂异黄酮对信号转导和转录激活因子</w:t>
            </w:r>
            <w:r w:rsidRPr="00082425">
              <w:rPr>
                <w:rFonts w:ascii="Times New Roman" w:eastAsia="宋体" w:hAnsi="Times New Roman" w:cs="Times New Roman"/>
                <w:lang w:val="pt-BR"/>
              </w:rPr>
              <w:t>3</w:t>
            </w:r>
            <w:r w:rsidRPr="00082425">
              <w:rPr>
                <w:rFonts w:ascii="Times New Roman" w:eastAsia="宋体" w:hAnsi="Times New Roman" w:cs="Times New Roman"/>
                <w:lang w:val="pt-BR"/>
              </w:rPr>
              <w:t>（</w:t>
            </w:r>
            <w:r w:rsidRPr="00082425">
              <w:rPr>
                <w:rFonts w:ascii="Times New Roman" w:eastAsia="宋体" w:hAnsi="Times New Roman" w:cs="Times New Roman"/>
                <w:lang w:val="pt-BR"/>
              </w:rPr>
              <w:t>STAT3</w:t>
            </w:r>
            <w:r w:rsidRPr="00082425">
              <w:rPr>
                <w:rFonts w:ascii="Times New Roman" w:eastAsia="宋体" w:hAnsi="Times New Roman" w:cs="Times New Roman"/>
                <w:lang w:val="pt-BR"/>
              </w:rPr>
              <w:t>）磷酸化的下调以及其核定位和</w:t>
            </w:r>
            <w:proofErr w:type="gramStart"/>
            <w:r w:rsidRPr="00082425">
              <w:rPr>
                <w:rFonts w:ascii="Times New Roman" w:eastAsia="宋体" w:hAnsi="Times New Roman" w:cs="Times New Roman"/>
                <w:lang w:val="pt-BR"/>
              </w:rPr>
              <w:t>靶基因表达</w:t>
            </w:r>
            <w:proofErr w:type="gramEnd"/>
            <w:r w:rsidRPr="00082425">
              <w:rPr>
                <w:rFonts w:ascii="Times New Roman" w:eastAsia="宋体" w:hAnsi="Times New Roman" w:cs="Times New Roman"/>
                <w:lang w:val="pt-BR"/>
              </w:rPr>
              <w:t>的抑制</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{"citationID":"ZeVStsBG","properties":{"formattedCitation":"\\super [51]\\nosupersub{}","plainCitation":"[51]","noteIndex":0},"citationItems":[{"id":6044,"uris":["http://zotero.org/users/8103267/items/I3AXTQA3"],"itemData":{"id":6044,"type":"article-journal","abstract":"Ovarian cancer is the leading cause of death among gynecological malignancies worldwide. Surgery and chemotherapy are the primary treatment modalities; however, their effectiveness significantly diminishes in the advanced stages of the disease. There is emerging evidence suggesting that natural products, including phytochemicals, could be beneficial in treating ovarian cancer. In this study, we employed SKOV3 cells to investigate the anticancer activity and the specific mechanisms of corylin, a principal flavonoid isolated from the fruit of Psoralea corylifolia. Corylin inhibited SKOV3 cell proliferation and colony formation in a dose-dependent manner. It also induced apoptosis through the activation of caspases and disruption of the mitochondrial membrane potential. Moreover, corylin caused G0/G1 cell cycle arrest by modifying the levels of cyclin D1 and the phosphorylated retinoblastoma protein. Further mechanistic studies demonstrated a marked downregulation of Signal transducer and activator of transcription 3 (STAT3) phosphorylation, nuclear localization, and target gene expression in corylin-treated SKOV3 cells. These findings suggest that corylin is a promising therapeutic agent for inhibiting cancer cell proliferation by targeting STAT3 in ovarian cancer.","container-title":"Biomolecules &amp; Therapeutics","DOI":"10.4062/biomolther.2025.114","ISSN":"1976-9148","issue":"6","journalAbbreviation":"Biomol Ther (Seoul)","language":"eng","page":"975-985","PMID":"41099171","PMCID":"PMC12580634","source":"PubMed","title":"Corylin Exhibits Anticancer Activity by Inducing Apoptosis and G0/G1 Cell Cycle Arrest in SKOV3 Human Ovarian Cancer Cells","volume":"33","author":[{"family":"No","given":"Huiwon"},{"family":"Kim","given":"Jungeun"},{"family":"Kim","given":"Jin-Kyung"}],"issued":{"date-parts":[["2025",11,1]]}}}],"schema":"https://github.com/citation-style-language/schema/raw/master/csl-citation.json"}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[51]</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6FBBD515" w14:textId="4ECBCE2B"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此外，补骨脂异黄酮在代谢性疾病中的作用也得到了验证。研究发现，补骨脂异黄酮通过激活</w:t>
            </w:r>
            <w:r w:rsidRPr="00082425">
              <w:rPr>
                <w:rFonts w:ascii="Times New Roman" w:eastAsia="宋体" w:hAnsi="Times New Roman" w:cs="Times New Roman"/>
                <w:lang w:val="pt-BR"/>
              </w:rPr>
              <w:t>SIRT1</w:t>
            </w:r>
            <w:r w:rsidRPr="00082425">
              <w:rPr>
                <w:rFonts w:ascii="Times New Roman" w:eastAsia="宋体" w:hAnsi="Times New Roman" w:cs="Times New Roman"/>
                <w:lang w:val="pt-BR"/>
              </w:rPr>
              <w:t>和</w:t>
            </w:r>
            <w:r w:rsidRPr="00082425">
              <w:rPr>
                <w:rFonts w:ascii="Times New Roman" w:eastAsia="宋体" w:hAnsi="Times New Roman" w:cs="Times New Roman"/>
                <w:i/>
                <w:iCs/>
                <w:lang w:val="pt-BR"/>
              </w:rPr>
              <w:t>β</w:t>
            </w:r>
            <w:r w:rsidRPr="00082425">
              <w:rPr>
                <w:rFonts w:ascii="Times New Roman" w:eastAsia="宋体" w:hAnsi="Times New Roman" w:cs="Times New Roman"/>
                <w:lang w:val="pt-BR"/>
              </w:rPr>
              <w:t>3-</w:t>
            </w:r>
            <w:r w:rsidRPr="00082425">
              <w:rPr>
                <w:rFonts w:ascii="Times New Roman" w:eastAsia="宋体" w:hAnsi="Times New Roman" w:cs="Times New Roman"/>
                <w:lang w:val="pt-BR"/>
              </w:rPr>
              <w:t>肾上腺素能受体（</w:t>
            </w:r>
            <w:r w:rsidRPr="00082425">
              <w:rPr>
                <w:rFonts w:ascii="Times New Roman" w:eastAsia="宋体" w:hAnsi="Times New Roman" w:cs="Times New Roman"/>
                <w:i/>
                <w:iCs/>
                <w:lang w:val="pt-BR"/>
              </w:rPr>
              <w:t>β</w:t>
            </w:r>
            <w:r w:rsidRPr="00082425">
              <w:rPr>
                <w:rFonts w:ascii="Times New Roman" w:eastAsia="宋体" w:hAnsi="Times New Roman" w:cs="Times New Roman"/>
                <w:lang w:val="pt-BR"/>
              </w:rPr>
              <w:t>3-AR</w:t>
            </w:r>
            <w:r w:rsidRPr="00082425">
              <w:rPr>
                <w:rFonts w:ascii="Times New Roman" w:eastAsia="宋体" w:hAnsi="Times New Roman" w:cs="Times New Roman"/>
                <w:lang w:val="pt-BR"/>
              </w:rPr>
              <w:t>），促进白色脂肪组织的褐变，从而减少肥胖和胰岛素抵抗。在抗衰老方</w:t>
            </w:r>
            <w:r w:rsidRPr="00082425">
              <w:rPr>
                <w:rFonts w:ascii="Times New Roman" w:eastAsia="宋体" w:hAnsi="Times New Roman" w:cs="Times New Roman"/>
                <w:lang w:val="pt-BR"/>
              </w:rPr>
              <w:lastRenderedPageBreak/>
              <w:t>面，补骨脂异黄酮在</w:t>
            </w:r>
            <w:proofErr w:type="gramStart"/>
            <w:r w:rsidRPr="00082425">
              <w:rPr>
                <w:rFonts w:ascii="Times New Roman" w:eastAsia="宋体" w:hAnsi="Times New Roman" w:cs="Times New Roman"/>
                <w:lang w:val="pt-BR"/>
              </w:rPr>
              <w:t>秀丽隐杆线虫</w:t>
            </w:r>
            <w:proofErr w:type="gramEnd"/>
            <w:r w:rsidRPr="00082425">
              <w:rPr>
                <w:rFonts w:ascii="Times New Roman" w:eastAsia="宋体" w:hAnsi="Times New Roman" w:cs="Times New Roman"/>
                <w:lang w:val="pt-BR"/>
              </w:rPr>
              <w:t>（</w:t>
            </w:r>
            <w:r w:rsidRPr="00082425">
              <w:rPr>
                <w:rFonts w:ascii="Times New Roman" w:eastAsia="宋体" w:hAnsi="Times New Roman" w:cs="Times New Roman"/>
                <w:i/>
                <w:iCs/>
                <w:lang w:val="pt-BR"/>
              </w:rPr>
              <w:t>Caenorhabditis elegans</w:t>
            </w:r>
            <w:r w:rsidRPr="00082425">
              <w:rPr>
                <w:rFonts w:ascii="Times New Roman" w:eastAsia="宋体" w:hAnsi="Times New Roman" w:cs="Times New Roman"/>
                <w:lang w:val="pt-BR"/>
              </w:rPr>
              <w:t>）中通过激活</w:t>
            </w:r>
            <w:r w:rsidRPr="00082425">
              <w:rPr>
                <w:rFonts w:ascii="Times New Roman" w:eastAsia="宋体" w:hAnsi="Times New Roman" w:cs="Times New Roman"/>
                <w:lang w:val="pt-BR"/>
              </w:rPr>
              <w:t>DAF-16</w:t>
            </w:r>
            <w:r w:rsidRPr="00082425">
              <w:rPr>
                <w:rFonts w:ascii="Times New Roman" w:eastAsia="宋体" w:hAnsi="Times New Roman" w:cs="Times New Roman"/>
                <w:lang w:val="pt-BR"/>
              </w:rPr>
              <w:t>和</w:t>
            </w:r>
            <w:r w:rsidRPr="00082425">
              <w:rPr>
                <w:rFonts w:ascii="Times New Roman" w:eastAsia="宋体" w:hAnsi="Times New Roman" w:cs="Times New Roman"/>
                <w:lang w:val="pt-BR"/>
              </w:rPr>
              <w:t>SKN-1</w:t>
            </w:r>
            <w:r w:rsidRPr="00082425">
              <w:rPr>
                <w:rFonts w:ascii="Times New Roman" w:eastAsia="宋体" w:hAnsi="Times New Roman" w:cs="Times New Roman"/>
                <w:lang w:val="pt-BR"/>
              </w:rPr>
              <w:t>信号通路，延长了寿命并改善了多种与衰老相关的表型</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{"citationID":"9KlBqAU1","properties":{"formattedCitation":"\\super [52]\\nosupersub{}","plainCitation":"[52]","noteIndex":0},"citationItems":[{"id":6047,"uris":["http://zotero.org/users/8103267/items/CUHUMJXW","http://zotero.org/users/8103267/items/VQ39QDWA"],"itemData":{"id":6047,"type":"article-journal","abstract":"ETHNOPHARMACOLOGICAL RELEVANCE: Corylin is a natural flavonoid isolated from the seeds of Psoralea corylifolia L., a traditional medicinal herb historically used to treat bone-related disorders such as osteoporosis. However, its role in organismal aging and the underlying molecular mechanisms remain largely unexplored.\nAIM OF THE STUDY: This study aimed to evaluate the anti-aging efficacy of corylin and elucidate the molecular basis of its action.\nMATERIALS AND METHODS: Using Caenorhabditis elegans (C. elegans) as a model organism, we systematically assessed the impact of corylin on lifespan and multiple aging-associated phenotypes, including locomotor capacity, muscle integrity, lipofuscin accumulation, and resistance to thermal, pathogenic, and oxidative stress. Neuroprotective potential was evaluated using transgenic models of Parkinson's and Huntington's diseases. To uncover the mechanisms involved, we analyzed the DAF-16/SKN-1 signaling axis and autophagy-related processes using transgenic reporter strains, RNA interference, and RT-qPCR.\nRESULTS: Corylin treatment significantly extended lifespan, improved locomotor performance, and reduced lipofuscin accumulation. Furthermore, it enhanced resistance to environmental stresses and conferred neuroprotection in models of neurodegeneration. Mechanistically, corylin promoted nuclear translocation of DAF-16 and upregulated the expression of DAF-16/SKN-1 target genes. This transcriptional activation was associated with enhanced autophagic flux and improved mitochondrial quality. Crucially, the beneficial effects of corylin were abolished in daf-16 and skn-1 mutants, as well as under autophagy-deficient conditions.\nCONCLUSION: Corylin exerts multifaceted anti-aging effects in C. elegans by coordinately activating the DAF-16/SKN-1 signaling axis, thereby enhancing autophagic flux and maintaining mitochondrial homeostasis. These findings identify corylin as a promising natural candidate for aging intervention.","container-title":"Journal of Ethnopharmacology","DOI":"10.1016/j.jep.2026.121416","ISSN":"1872-7573","journalAbbreviation":"J Ethnopharmacol","language":"eng","page":"121416","PMID":"41730400","source":"PubMed","title":"Corylin promotes longevity in Caenorhabditis elegans through DAF-16 and SKN-1 coordinated activation of autophagy-mitochondrial homeostasis axis","volume":"363","author":[{"family":"Shi","given":"Fu-Yi"},{"family":"Li","given":"Chun"},{"family":"Zhang","given":"Xi-Yang"},{"family":"Ou","given":"Li-Lan"},{"family":"Wu","given":"Gui-Sheng"},{"family":"Luo","given":"Huai-Rong"}],"issued":{"date-parts":[["2026",5,23]]}}}],"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[52]</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13EA8AF5" w14:textId="77484000"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补骨脂异黄酮的抗炎作用也得到了广泛的研究。在脂多糖（</w:t>
            </w:r>
            <w:r w:rsidRPr="00082425">
              <w:rPr>
                <w:rFonts w:ascii="Times New Roman" w:eastAsia="宋体" w:hAnsi="Times New Roman" w:cs="Times New Roman"/>
                <w:lang w:val="pt-BR"/>
              </w:rPr>
              <w:t>LPS</w:t>
            </w:r>
            <w:r w:rsidRPr="00082425">
              <w:rPr>
                <w:rFonts w:ascii="Times New Roman" w:eastAsia="宋体" w:hAnsi="Times New Roman" w:cs="Times New Roman"/>
                <w:lang w:val="pt-BR"/>
              </w:rPr>
              <w:t>）诱导的急性肺损伤模型中，补骨脂异黄酮通过抑制</w:t>
            </w:r>
            <w:r w:rsidRPr="00082425">
              <w:rPr>
                <w:rFonts w:ascii="Times New Roman" w:eastAsia="宋体" w:hAnsi="Times New Roman" w:cs="Times New Roman"/>
                <w:lang w:val="pt-BR"/>
              </w:rPr>
              <w:t>MAPK</w:t>
            </w:r>
            <w:r w:rsidRPr="00082425">
              <w:rPr>
                <w:rFonts w:ascii="Times New Roman" w:eastAsia="宋体" w:hAnsi="Times New Roman" w:cs="Times New Roman"/>
                <w:lang w:val="pt-BR"/>
              </w:rPr>
              <w:t>和</w:t>
            </w:r>
            <w:r w:rsidRPr="00082425">
              <w:rPr>
                <w:rFonts w:ascii="Times New Roman" w:eastAsia="宋体" w:hAnsi="Times New Roman" w:cs="Times New Roman"/>
                <w:lang w:val="pt-BR"/>
              </w:rPr>
              <w:t>IL-6/STAT3</w:t>
            </w:r>
            <w:r w:rsidRPr="00082425">
              <w:rPr>
                <w:rFonts w:ascii="Times New Roman" w:eastAsia="宋体" w:hAnsi="Times New Roman" w:cs="Times New Roman"/>
                <w:lang w:val="pt-BR"/>
              </w:rPr>
              <w:t>信号通路，显著减轻了炎症反应</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{"citationID":"fEkBfCzw","properties":{"formattedCitation":"\\super [52]\\nosupersub{}","plainCitation":"[52]","noteIndex":0},"citationItems":[{"id":6047,"uris":["http://zotero.org/users/8103267/items/CUHUMJXW","http://zotero.org/users/8103267/items/VQ39QDWA"],"itemData":{"id":6047,"type":"article-journal","abstract":"ETHNOPHARMACOLOGICAL RELEVANCE: Corylin is a natural flavonoid isolated from the seeds of Psoralea corylifolia L., a traditional medicinal herb historically used to treat bone-related disorders such as osteoporosis. However, its role in organismal aging and the underlying molecular mechanisms remain largely unexplored.\nAIM OF THE STUDY: This study aimed to evaluate the anti-aging efficacy of corylin and elucidate the molecular basis of its action.\nMATERIALS AND METHODS: Using Caenorhabditis elegans (C. elegans) as a model organism, we systematically assessed the impact of corylin on lifespan and multiple aging-associated phenotypes, including locomotor capacity, muscle integrity, lipofuscin accumulation, and resistance to thermal, pathogenic, and oxidative stress. Neuroprotective potential was evaluated using transgenic models of Parkinson's and Huntington's diseases. To uncover the mechanisms involved, we analyzed the DAF-16/SKN-1 signaling axis and autophagy-related processes using transgenic reporter strains, RNA interference, and RT-qPCR.\nRESULTS: Corylin treatment significantly extended lifespan, improved locomotor performance, and reduced lipofuscin accumulation. Furthermore, it enhanced resistance to environmental stresses and conferred neuroprotection in models of neurodegeneration. Mechanistically, corylin promoted nuclear translocation of DAF-16 and upregulated the expression of DAF-16/SKN-1 target genes. This transcriptional activation was associated with enhanced autophagic flux and improved mitochondrial quality. Crucially, the beneficial effects of corylin were abolished in daf-16 and skn-1 mutants, as well as under autophagy-deficient conditions.\nCONCLUSION: Corylin exerts multifaceted anti-aging effects in C. elegans by coordinately activating the DAF-16/SKN-1 signaling axis, thereby enhancing autophagic flux and maintaining mitochondrial homeostasis. These findings identify corylin as a promising natural candidate for aging intervention.","container-title":"Journal of Ethnopharmacology","DOI":"10.1016/j.jep.2026.121416","ISSN":"1872-7573","journalAbbreviation":"J Ethnopharmacol","language":"eng","page":"121416","PMID":"41730400","source":"PubMed","title":"Corylin promotes longevity in Caenorhabditis elegans through DAF-16 and SKN-1 coordinated activation of autophagy-mitochondrial homeostasis axis","volume":"363","author":[{"family":"Shi","given":"Fu-Yi"},{"family":"Li","given":"Chun"},{"family":"Zhang","given":"Xi-Yang"},{"family":"Ou","given":"Li-Lan"},{"family":"Wu","given":"Gui-Sheng"},{"family":"Luo","given":"Huai-Rong"}],"issued":{"date-parts":[["2026",5,23]]}}}],"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[52]</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。在慢性溃疡性结肠炎的研究中，补骨脂异黄酮通过调节肠</w:t>
            </w:r>
            <w:r w:rsidRPr="00082425">
              <w:rPr>
                <w:rFonts w:ascii="Times New Roman" w:eastAsia="宋体" w:hAnsi="Times New Roman" w:cs="Times New Roman"/>
                <w:lang w:val="pt-BR"/>
              </w:rPr>
              <w:t>-</w:t>
            </w:r>
            <w:proofErr w:type="gramStart"/>
            <w:r w:rsidRPr="00082425">
              <w:rPr>
                <w:rFonts w:ascii="Times New Roman" w:eastAsia="宋体" w:hAnsi="Times New Roman" w:cs="Times New Roman"/>
                <w:lang w:val="pt-BR"/>
              </w:rPr>
              <w:t>脑轴和</w:t>
            </w:r>
            <w:proofErr w:type="gramEnd"/>
            <w:r w:rsidRPr="00082425">
              <w:rPr>
                <w:rFonts w:ascii="Times New Roman" w:eastAsia="宋体" w:hAnsi="Times New Roman" w:cs="Times New Roman"/>
                <w:lang w:val="pt-BR"/>
              </w:rPr>
              <w:t>促进结肠中</w:t>
            </w:r>
            <w:r w:rsidRPr="00082425">
              <w:rPr>
                <w:rFonts w:ascii="Times New Roman" w:eastAsia="宋体" w:hAnsi="Times New Roman" w:cs="Times New Roman"/>
                <w:lang w:val="pt-BR"/>
              </w:rPr>
              <w:t>5-</w:t>
            </w:r>
            <w:r w:rsidRPr="00082425">
              <w:rPr>
                <w:rFonts w:ascii="Times New Roman" w:eastAsia="宋体" w:hAnsi="Times New Roman" w:cs="Times New Roman"/>
                <w:lang w:val="pt-BR"/>
              </w:rPr>
              <w:t>羟色胺的产生，改善了结肠炎症状</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{"citationID":"mXmxfY0U","properties":{"formattedCitation":"\\super [53]\\nosupersub{}","plainCitation":"[53]","noteIndex":0},"citationItems":[{"id":6051,"uris":["http://zotero.org/users/8103267/items/MVE3KX8Z"],"itemData":{"id":6051,"type":"article-journal","abstract":"BACKGROUND: Chronic ulcerative colitis (UC) is a lifelong disease, patients with chronic UC have a high prevalence of common mental disorders. The increasing interest in the role of gut-brain axis is seen in inflammatory bowel diseases.\nPURPOSE: Corylin is a representative flavonoid compound isolated from the Psoraleae Fructus. This study aimed to identify the effects and mechanism of corylin on the inflammation interactions and 5-HT synthesis between the gut and brain in chronic UC.\nMETHODS: Dextran sulfate sodium (DSS) induced chronic UC mouse model was established to assess the therapeutic effect of corylin on chronic UC symptoms. The expression of inflammatory cytokines was detected in the colon and brain. The expression of tight junction (TJ) proteins of intestinal mucosal barrier and blood-brain barrier (BBB) and the ionized calcium-binding adaptor molecule 1 (Iba1) in the hippocampus were determined by western blotting and immunofluorescence staining. In addition, several tryptophan (Trp) metabolites and related neurotransmitters in faeces, colon, serum, and brain were detected by UPLC-MS/MS. The interaction between corylin and 5-hydroxytryptophan decarboxylase (5-HTPDC) was performed by molecular docking and surface plasmon resonance (SPR). Finally, the changes of gut microbiota composition were analyzed by 16S rRNA sequencing.\nRESULTS: Corylin significantly alleviated colitis symptoms and inhibited inflammatory response in the colon and brain of DSS-induced chronic UC mice. The TJ proteins of intestinal mucosal barrier and BBB were improved and the expression of Iba1 in the hippocampus was normalized after corylin treatment. In addition, corylin treatment increased the expression of neurotransmitters in the brain, especially 5-hydroxytryptamine (5-HT) and 5-hydroxytryptophan (5-HTP), but the expression of 5-HT in the colon was inhibited. Further study firstly proved that corylin could bind to the 5-HTDPC, and then inhibit the expression of 5-HTDPC and VB6, resulting in the 5-HT reduction and 5-HTP accumulation in the colon. Moreover, the intake of corylin transformed the diversity and composition of intestinal microbiota, Bacteroides, Escherichia-Shigella, and Turicibacter were decreased but Dubosiella, Enterorhabdus, and Candidatus_Stoquefichus were increased.\nCONCLUSION: Corylin administration ameliorated DSS-induced colitis and inhibited intestinal inflammation and neuroinflammation via regulating the inflammation interactions across gut-brain axis and increasing 5-HTP generation in the colon.","container-title":"Phytomedicine: International Journal of Phytotherapy and Phytopharmacology","DOI":"10.1016/j.phymed.2023.154651","ISSN":"1618-095X","journalAbbreviation":"Phytomedicine","language":"eng","page":"154651","PMID":"36634380","source":"PubMed","title":"Corylin ameliorates chronic ulcerative colitis via regulating the gut-brain axis and promoting 5-hydroxytryptophan production in the colon","volume":"110","author":[{"family":"Wang","given":"Zhao-Jing"},{"family":"Chen","given":"Li-Hua"},{"family":"Xu","given":"Jing"},{"family":"Xu","given":"Qing-Xia"},{"family":"Xu","given":"Wei"},{"family":"Yang","given":"Xiu-Wei"}],"issued":{"date-parts":[["2023",2]]}}}],"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[53]</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。此外，补骨脂异黄酮还通过下调</w:t>
            </w:r>
            <w:r w:rsidRPr="00082425">
              <w:rPr>
                <w:rFonts w:ascii="Times New Roman" w:eastAsia="宋体" w:hAnsi="Times New Roman" w:cs="Times New Roman"/>
                <w:lang w:val="pt-BR"/>
              </w:rPr>
              <w:t>microRNA-214-5p</w:t>
            </w:r>
            <w:r w:rsidRPr="00082425">
              <w:rPr>
                <w:rFonts w:ascii="Times New Roman" w:eastAsia="宋体" w:hAnsi="Times New Roman" w:cs="Times New Roman"/>
                <w:lang w:val="pt-BR"/>
              </w:rPr>
              <w:t>，改善了与脓毒</w:t>
            </w:r>
            <w:proofErr w:type="gramStart"/>
            <w:r w:rsidRPr="00082425">
              <w:rPr>
                <w:rFonts w:ascii="Times New Roman" w:eastAsia="宋体" w:hAnsi="Times New Roman" w:cs="Times New Roman"/>
                <w:lang w:val="pt-BR"/>
              </w:rPr>
              <w:t>症相关</w:t>
            </w:r>
            <w:proofErr w:type="gramEnd"/>
            <w:r w:rsidRPr="00082425">
              <w:rPr>
                <w:rFonts w:ascii="Times New Roman" w:eastAsia="宋体" w:hAnsi="Times New Roman" w:cs="Times New Roman"/>
                <w:lang w:val="pt-BR"/>
              </w:rPr>
              <w:t>的心脏功能障碍</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{"citationID":"LaI7oWrL","properties":{"formattedCitation":"\\super [54]\\nosupersub{}","plainCitation":"[54]","noteIndex":0},"citationItems":[{"id":6053,"uris":["http://zotero.org/users/8103267/items/FRV28Q48"],"itemData":{"id":6053,"type":"article-journal","abstract":"BACKGROUND: Corylin, a natural flavonoid, is isolated from the fruit of Psoralea corylifolia L. Nevertheless, the effect of corylin on sepsis-associated cardiac dysfunction is still unclear. The purpose of this study is to determine the role and mechanism of corylin in sepsis related cardiac dysfunction.\nMETHODS: Experiments were carried out on mice with lipopolysaccharide (LPS) or sepsis induced by cecal ligation and puncture (CLP) or myocardial cell sepsis induced by LPS.\nRESULTS: Administration of corylin improved cardiac dysfunction induced by LPS or CLP in mice. Corylin inhibited the increases of interleukin-1 (IL)-1β, IL-6 and tumor necrosis factor (TNF)-α in the heart of mice with LPS or CLP. LPS elevated the levels of IL-1β, IL-6 and TNF-α in cardiomyocytes, which were inhibited by corylin treatment. Corylin attenuated the increases of microRNA (miRNA)-214-5p in the heart of mice with LPS, CLP, LPS-treated NRCMs, H9c2 and AC16 cells. Administration of miRNA-214-5p agomiR reversed the improving effects of corylin on the damaged cardiac function and the increases of IL-1β, IL-6 and TNF-α in mice treated with LPS.\nCONCLUSION: These outcomes indicated that corylin improved sepsis-associated cardiac dysfunction by inhibiting inflammation. And corylin inhibited inflammation of sepsis by decreasing miRNA-214-5p. Downregulation of miRNA-214-5p improved sepsis-associated cardiac dysfunction and inhibited inflammatory factors.","container-title":"Toxicology Research","DOI":"10.1093/toxres/tfae081","ISSN":"2045-452X","issue":"3","journalAbbreviation":"Toxicol Res (Camb)","language":"eng","page":"tfae081","PMID":"38855635","PMCID":"PMC11161260","source":"PubMed","title":"Corylin alleviated sepsis-associated cardiac dysfunction via attenuating inflammation through downregulation of microRNA-214-5p","volume":"13","author":[{"family":"Li","given":"Chunyan"},{"family":"Hou","given":"Daorong"},{"family":"Huang","given":"Yanhong"},{"family":"Liu","given":"Yifan"},{"family":"Li","given":"Yong"},{"family":"Wang","given":"Cheng"}],"issued":{"date-parts":[["2024",6]]}}}],"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[54]</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27E18417" w14:textId="4E113CDB"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在骨骼健康方面，补骨脂异黄酮通过激活雌激素和</w:t>
            </w:r>
            <w:r w:rsidRPr="00082425">
              <w:rPr>
                <w:rFonts w:ascii="Times New Roman" w:eastAsia="宋体" w:hAnsi="Times New Roman" w:cs="Times New Roman"/>
                <w:lang w:val="pt-BR"/>
              </w:rPr>
              <w:t>Wnt/β-</w:t>
            </w:r>
            <w:r w:rsidRPr="00082425">
              <w:rPr>
                <w:rFonts w:ascii="Times New Roman" w:eastAsia="宋体" w:hAnsi="Times New Roman" w:cs="Times New Roman"/>
                <w:lang w:val="pt-BR"/>
              </w:rPr>
              <w:t>连环蛋白信号通路，促进成骨细胞分化，并在体外和体内实验中表现出显著的成骨活性。此外，补骨脂异黄酮通过抑制</w:t>
            </w:r>
            <w:r w:rsidRPr="00082425">
              <w:rPr>
                <w:rFonts w:ascii="Times New Roman" w:eastAsia="宋体" w:hAnsi="Times New Roman" w:cs="Times New Roman"/>
                <w:lang w:val="pt-BR"/>
              </w:rPr>
              <w:t>NF-κB</w:t>
            </w:r>
            <w:r w:rsidRPr="00082425">
              <w:rPr>
                <w:rFonts w:ascii="Times New Roman" w:eastAsia="宋体" w:hAnsi="Times New Roman" w:cs="Times New Roman"/>
                <w:lang w:val="pt-BR"/>
              </w:rPr>
              <w:t>信号通路，抑制了非小细胞肺癌细胞的增殖和迁移</w:t>
            </w:r>
            <w:r w:rsidRPr="00082425">
              <w:rPr>
                <w:rFonts w:ascii="Times New Roman" w:eastAsia="宋体" w:hAnsi="Times New Roman" w:cs="Times New Roman"/>
                <w:lang w:val="pt-BR"/>
              </w:rPr>
              <w:fldChar w:fldCharType="begin"/>
            </w:r>
            <w:r w:rsidR="009E53C2" w:rsidRPr="00082425">
              <w:rPr>
                <w:rFonts w:ascii="Times New Roman" w:eastAsia="宋体" w:hAnsi="Times New Roman" w:cs="Times New Roman"/>
                <w:lang w:val="pt-BR"/>
              </w:rPr>
              <w:instrText xml:space="preserve"> ADDIN ZOTERO_ITEM CSL_CITATION {"citationID":"Anyhfq97","properties":{"formattedCitation":"\\super [55]\\nosupersub{}","plainCitation":"[55]","noteIndex":0},"citationItems":[{"id":6055,"uris":["http://zotero.org/users/8103267/items/UA53C4VA"],"itemData":{"id":6055,"type":"article-journal","abstract":"BACKGROUND: Lung cancer is characterized by high-risk and high mortality, among which non-small cell lung cancer (NSCLC) conquers a dominant position. Previous studies have reported that corylin has anti-inflammatory, anti-oxidant, and anti-tumor effects; however, its role in NSCLC cells remains unclear.\nHYPOTHESIS: Corylin inhibits the progression of NSCLC cells.\nMETHODS: A lentivector NF-κB luciferase reporter was constructed by molecular cloning. Corylin was screened and identified as an NF-κB pathway inhibitor by luciferase reporter assay. Corylin inhibited the expression of NF-κB downstream genes, which was detected by qRT-PCR. The effect of corylin on NSCLC cells was detected by colony formation assay, cell apoptosis, cell proliferation, in vitro invasion, and cell scratch assay. Corylin inhibited p65 nuclear translocation and was detected by molecular docking, immunofluorescence assay, and Western blot analysis.\nRESULTS: We constructed a lentiviral expression vector, containing an NF-κB luciferase reporter and established a stable A549 cell line for its expression. Using this cell line, corylin was screened and identified as an NF-κB pathway inhibitor. It was found that corylin inhibited the expression of NF-κB downstream genes and inhibited the proliferation and migration of NSCLC cells. Meanwhile, it was also found that corylin significantly reversed the increased proliferation of NSCLC cell lines induced by p65 overexpression. Molecular docking analysis showed that corylin could bind to p65 by hydrogen bonding. Further study showed that corylin inhibited the NF-κB signaling pathway by blocking p65 nuclear translocation.\nCONCLUSIONS: Our study screened and identified corylin as an NF-κB inhibitor and elucidated the molecular mechanism by which corylin inhibits the growth of NSCLC cells. The present study provides a novel strategy for improving the prognosis and treatment of NSCLC patients.","container-title":"Phytomedicine: International Journal of Phytotherapy and Phytopharmacology","DOI":"10.1016/j.phymed.2022.154627","ISSN":"1618-095X","journalAbbreviation":"Phytomedicine","language":"eng","page":"154627","PMID":"36610351","source":"PubMed","title":"Corylin inhibits the progression of Non-small cell lung cancer cells by regulating NF-κB signaling pathway via targeting p65","volume":"110","author":[{"family":"Lin","given":"Zihan"},{"family":"Liao","given":"Lijuan"},{"family":"Zhao","given":"Shengchao"},{"family":"Gu","given":"Wei"},{"family":"Wang","given":"Guanzhen"},{"family":"Shen","given":"Ziyi"},{"family":"Wang","given":"Yuanhui"},{"family":"Chen","given":"Kun"},{"family":"Liu","given":"Wei"},{"family":"Cai","given":"Yi"},{"family":"Wan","given":"Chunpeng"},{"family":"Yan","given":"Tingdong"}],"issued":{"date-parts":[["2023",2]]}}}],"schema":"https://github.com/citation-style-language/schema/raw/master/csl-citation.json"} </w:instrText>
            </w:r>
            <w:r w:rsidRPr="00082425">
              <w:rPr>
                <w:rFonts w:ascii="Times New Roman" w:eastAsia="宋体" w:hAnsi="Times New Roman" w:cs="Times New Roman"/>
                <w:lang w:val="pt-BR"/>
              </w:rPr>
              <w:fldChar w:fldCharType="separate"/>
            </w:r>
            <w:r w:rsidR="009E53C2" w:rsidRPr="00082425">
              <w:rPr>
                <w:rFonts w:ascii="Times New Roman" w:eastAsia="等线" w:hAnsi="Times New Roman" w:cs="Times New Roman"/>
                <w:kern w:val="0"/>
                <w:vertAlign w:val="superscript"/>
              </w:rPr>
              <w:t>[55]</w:t>
            </w:r>
            <w:r w:rsidRPr="00082425">
              <w:rPr>
                <w:rFonts w:ascii="Times New Roman" w:eastAsia="宋体" w:hAnsi="Times New Roman" w:cs="Times New Roman"/>
                <w:lang w:val="pt-BR"/>
              </w:rPr>
              <w:fldChar w:fldCharType="end"/>
            </w:r>
            <w:r w:rsidRPr="00082425">
              <w:rPr>
                <w:rFonts w:ascii="Times New Roman" w:eastAsia="宋体" w:hAnsi="Times New Roman" w:cs="Times New Roman"/>
                <w:lang w:val="pt-BR"/>
              </w:rPr>
              <w:t>。</w:t>
            </w:r>
          </w:p>
          <w:p w14:paraId="11952AD8" w14:textId="77777777" w:rsidR="004E7B66" w:rsidRPr="00082425" w:rsidRDefault="004E7B66" w:rsidP="004E7B66">
            <w:pPr>
              <w:spacing w:line="360" w:lineRule="auto"/>
              <w:rPr>
                <w:rFonts w:ascii="Times New Roman" w:eastAsia="宋体" w:hAnsi="Times New Roman" w:cs="Times New Roman"/>
                <w:lang w:val="pt-BR"/>
              </w:rPr>
            </w:pPr>
            <w:r w:rsidRPr="00082425">
              <w:rPr>
                <w:rFonts w:ascii="Times New Roman" w:eastAsia="宋体" w:hAnsi="Times New Roman" w:cs="Times New Roman"/>
                <w:lang w:val="pt-BR"/>
              </w:rPr>
              <w:t>综上所述，补骨脂异黄酮作为一种多功能的天然化合物，展现出广泛的生物活性和潜在的临床应用价值。其在抗肿瘤、抗炎、抗氧化、抗衰老以及代谢调节等方面的作用机制，为未来的药物开发和疾病治疗提供了重要的科学依据。</w:t>
            </w:r>
          </w:p>
          <w:p w14:paraId="6BBF5ADF" w14:textId="77777777" w:rsidR="004E7B66" w:rsidRPr="00082425" w:rsidRDefault="004E7B66" w:rsidP="004E7B66">
            <w:pPr>
              <w:spacing w:line="360" w:lineRule="auto"/>
              <w:rPr>
                <w:rFonts w:ascii="Times New Roman" w:eastAsia="宋体" w:hAnsi="Times New Roman" w:cs="Times New Roman"/>
              </w:rPr>
            </w:pPr>
          </w:p>
        </w:tc>
      </w:tr>
    </w:tbl>
    <w:p w14:paraId="3BAA270E" w14:textId="2768B55A" w:rsidR="00B21E7C" w:rsidRPr="00082425" w:rsidRDefault="00B21E7C" w:rsidP="009E12FD">
      <w:pPr>
        <w:rPr>
          <w:rFonts w:ascii="Times New Roman" w:eastAsia="宋体" w:hAnsi="Times New Roman" w:cs="Times New Roman"/>
          <w:lang w:val="pt-BR"/>
        </w:rPr>
      </w:pPr>
    </w:p>
    <w:p w14:paraId="5DB07CE8" w14:textId="77777777" w:rsidR="00303D0E" w:rsidRPr="00082425" w:rsidRDefault="00303D0E" w:rsidP="009E12FD">
      <w:pPr>
        <w:rPr>
          <w:rFonts w:ascii="Times New Roman" w:eastAsia="宋体" w:hAnsi="Times New Roman" w:cs="Times New Roman"/>
          <w:lang w:val="pt-BR"/>
        </w:rPr>
      </w:pPr>
    </w:p>
    <w:p w14:paraId="119F87DB" w14:textId="77777777" w:rsidR="00303D0E" w:rsidRPr="00082425" w:rsidRDefault="00303D0E" w:rsidP="009E12FD">
      <w:pPr>
        <w:rPr>
          <w:rFonts w:ascii="Times New Roman" w:eastAsia="宋体" w:hAnsi="Times New Roman" w:cs="Times New Roman"/>
          <w:lang w:val="pt-BR"/>
        </w:rPr>
      </w:pPr>
    </w:p>
    <w:p w14:paraId="49FB2B52" w14:textId="77777777" w:rsidR="00022EE1" w:rsidRPr="00082425" w:rsidRDefault="00022EE1" w:rsidP="009E12FD">
      <w:pPr>
        <w:rPr>
          <w:rFonts w:ascii="Times New Roman" w:eastAsia="宋体" w:hAnsi="Times New Roman" w:cs="Times New Roman"/>
          <w:lang w:val="pt-BR"/>
        </w:rPr>
        <w:sectPr w:rsidR="00022EE1" w:rsidRPr="00082425" w:rsidSect="00BC5B30">
          <w:pgSz w:w="16838" w:h="11906" w:orient="landscape"/>
          <w:pgMar w:top="1800" w:right="1440" w:bottom="1800" w:left="1440" w:header="851" w:footer="992" w:gutter="0"/>
          <w:cols w:space="425"/>
          <w:docGrid w:type="lines" w:linePitch="312"/>
        </w:sectPr>
      </w:pPr>
    </w:p>
    <w:p w14:paraId="2E356EE0" w14:textId="46370B5E" w:rsidR="00022EE1" w:rsidRPr="00082425" w:rsidRDefault="00022EE1">
      <w:pPr>
        <w:widowControl/>
        <w:rPr>
          <w:rFonts w:ascii="Times New Roman" w:eastAsia="宋体" w:hAnsi="Times New Roman" w:cs="Times New Roman"/>
          <w:lang w:val="pt-BR"/>
        </w:rPr>
      </w:pPr>
      <w:r w:rsidRPr="00082425">
        <w:rPr>
          <w:rFonts w:ascii="Times New Roman" w:eastAsia="宋体" w:hAnsi="Times New Roman" w:cs="Times New Roman"/>
          <w:lang w:val="pt-BR"/>
        </w:rPr>
        <w:lastRenderedPageBreak/>
        <w:t>五、总结</w:t>
      </w:r>
    </w:p>
    <w:p w14:paraId="22E5D347" w14:textId="13D00988" w:rsidR="005D00F1" w:rsidRPr="00082425" w:rsidRDefault="00A56677" w:rsidP="00F1505F">
      <w:pPr>
        <w:widowControl/>
        <w:spacing w:line="360" w:lineRule="auto"/>
        <w:jc w:val="both"/>
        <w:rPr>
          <w:rFonts w:ascii="Times New Roman" w:eastAsia="宋体" w:hAnsi="Times New Roman" w:cs="Times New Roman"/>
        </w:rPr>
      </w:pPr>
      <w:r w:rsidRPr="00082425">
        <w:rPr>
          <w:rFonts w:ascii="Times New Roman" w:eastAsia="宋体" w:hAnsi="Times New Roman" w:cs="Times New Roman"/>
        </w:rPr>
        <w:t>DIGESTIVE CARE</w:t>
      </w:r>
      <w:r w:rsidRPr="00082425">
        <w:rPr>
          <w:rFonts w:ascii="Times New Roman" w:eastAsia="宋体" w:hAnsi="Times New Roman" w:cs="Times New Roman"/>
        </w:rPr>
        <w:t>样品</w:t>
      </w:r>
      <w:r w:rsidR="005D00F1" w:rsidRPr="00082425">
        <w:rPr>
          <w:rFonts w:ascii="Times New Roman" w:eastAsia="宋体" w:hAnsi="Times New Roman" w:cs="Times New Roman"/>
        </w:rPr>
        <w:t>经质谱鉴定，其主要化学成分以黄酮及异黄酮类化合物为核心，结构类型丰富。具体包括黄酮醇类</w:t>
      </w:r>
      <w:proofErr w:type="gramStart"/>
      <w:r w:rsidR="005D00F1" w:rsidRPr="00082425">
        <w:rPr>
          <w:rFonts w:ascii="Times New Roman" w:eastAsia="宋体" w:hAnsi="Times New Roman" w:cs="Times New Roman"/>
        </w:rPr>
        <w:t>的漆黄素</w:t>
      </w:r>
      <w:proofErr w:type="gramEnd"/>
      <w:r w:rsidR="005D00F1" w:rsidRPr="00082425">
        <w:rPr>
          <w:rFonts w:ascii="Times New Roman" w:eastAsia="宋体" w:hAnsi="Times New Roman" w:cs="Times New Roman"/>
        </w:rPr>
        <w:t>（</w:t>
      </w:r>
      <w:r w:rsidR="005D00F1" w:rsidRPr="00082425">
        <w:rPr>
          <w:rFonts w:ascii="Times New Roman" w:eastAsia="宋体" w:hAnsi="Times New Roman" w:cs="Times New Roman"/>
        </w:rPr>
        <w:t>Fisetin</w:t>
      </w:r>
      <w:r w:rsidR="005D00F1" w:rsidRPr="00082425">
        <w:rPr>
          <w:rFonts w:ascii="Times New Roman" w:eastAsia="宋体" w:hAnsi="Times New Roman" w:cs="Times New Roman"/>
        </w:rPr>
        <w:t>）、异黄酮类的大豆素（</w:t>
      </w:r>
      <w:r w:rsidR="005D00F1" w:rsidRPr="00082425">
        <w:rPr>
          <w:rFonts w:ascii="Times New Roman" w:eastAsia="宋体" w:hAnsi="Times New Roman" w:cs="Times New Roman"/>
        </w:rPr>
        <w:t>Daidzein</w:t>
      </w:r>
      <w:r w:rsidR="005D00F1" w:rsidRPr="00082425">
        <w:rPr>
          <w:rFonts w:ascii="Times New Roman" w:eastAsia="宋体" w:hAnsi="Times New Roman" w:cs="Times New Roman"/>
        </w:rPr>
        <w:t>）与染料木素（</w:t>
      </w:r>
      <w:r w:rsidR="005D00F1" w:rsidRPr="00082425">
        <w:rPr>
          <w:rFonts w:ascii="Times New Roman" w:eastAsia="宋体" w:hAnsi="Times New Roman" w:cs="Times New Roman"/>
        </w:rPr>
        <w:t>Genistein</w:t>
      </w:r>
      <w:r w:rsidR="005D00F1" w:rsidRPr="00082425">
        <w:rPr>
          <w:rFonts w:ascii="Times New Roman" w:eastAsia="宋体" w:hAnsi="Times New Roman" w:cs="Times New Roman"/>
        </w:rPr>
        <w:t>）、异黄酮氧糖苷类的甘草</w:t>
      </w:r>
      <w:proofErr w:type="gramStart"/>
      <w:r w:rsidR="005D00F1" w:rsidRPr="00082425">
        <w:rPr>
          <w:rFonts w:ascii="Times New Roman" w:eastAsia="宋体" w:hAnsi="Times New Roman" w:cs="Times New Roman"/>
        </w:rPr>
        <w:t>苷</w:t>
      </w:r>
      <w:proofErr w:type="gramEnd"/>
      <w:r w:rsidR="005D00F1" w:rsidRPr="00082425">
        <w:rPr>
          <w:rFonts w:ascii="Times New Roman" w:eastAsia="宋体" w:hAnsi="Times New Roman" w:cs="Times New Roman"/>
        </w:rPr>
        <w:t>（</w:t>
      </w:r>
      <w:r w:rsidR="005D00F1" w:rsidRPr="00082425">
        <w:rPr>
          <w:rFonts w:ascii="Times New Roman" w:eastAsia="宋体" w:hAnsi="Times New Roman" w:cs="Times New Roman"/>
        </w:rPr>
        <w:t>Liquiritin</w:t>
      </w:r>
      <w:r w:rsidR="005D00F1" w:rsidRPr="00082425">
        <w:rPr>
          <w:rFonts w:ascii="Times New Roman" w:eastAsia="宋体" w:hAnsi="Times New Roman" w:cs="Times New Roman"/>
        </w:rPr>
        <w:t>）与芹菜素</w:t>
      </w:r>
      <w:r w:rsidR="005D00F1" w:rsidRPr="00082425">
        <w:rPr>
          <w:rFonts w:ascii="Times New Roman" w:eastAsia="宋体" w:hAnsi="Times New Roman" w:cs="Times New Roman"/>
        </w:rPr>
        <w:t>-7-O-</w:t>
      </w:r>
      <w:r w:rsidR="005D00F1" w:rsidRPr="00082425">
        <w:rPr>
          <w:rFonts w:ascii="Times New Roman" w:eastAsia="宋体" w:hAnsi="Times New Roman" w:cs="Times New Roman"/>
        </w:rPr>
        <w:t>葡萄糖苷（</w:t>
      </w:r>
      <w:r w:rsidR="005D00F1" w:rsidRPr="00082425">
        <w:rPr>
          <w:rFonts w:ascii="Times New Roman" w:eastAsia="宋体" w:hAnsi="Times New Roman" w:cs="Times New Roman"/>
        </w:rPr>
        <w:t>Apigenin 7-O-glucoside</w:t>
      </w:r>
      <w:r w:rsidR="005D00F1" w:rsidRPr="00082425">
        <w:rPr>
          <w:rFonts w:ascii="Times New Roman" w:eastAsia="宋体" w:hAnsi="Times New Roman" w:cs="Times New Roman"/>
        </w:rPr>
        <w:t>）、</w:t>
      </w:r>
      <w:proofErr w:type="gramStart"/>
      <w:r w:rsidR="005D00F1" w:rsidRPr="00082425">
        <w:rPr>
          <w:rFonts w:ascii="Times New Roman" w:eastAsia="宋体" w:hAnsi="Times New Roman" w:cs="Times New Roman"/>
        </w:rPr>
        <w:t>吡喃</w:t>
      </w:r>
      <w:proofErr w:type="gramEnd"/>
      <w:r w:rsidR="005D00F1" w:rsidRPr="00082425">
        <w:rPr>
          <w:rFonts w:ascii="Times New Roman" w:eastAsia="宋体" w:hAnsi="Times New Roman" w:cs="Times New Roman"/>
        </w:rPr>
        <w:t>异黄酮类的补骨脂异黄酮（</w:t>
      </w:r>
      <w:r w:rsidR="005D00F1" w:rsidRPr="00082425">
        <w:rPr>
          <w:rFonts w:ascii="Times New Roman" w:eastAsia="宋体" w:hAnsi="Times New Roman" w:cs="Times New Roman"/>
        </w:rPr>
        <w:t>Corylin</w:t>
      </w:r>
      <w:r w:rsidR="005D00F1" w:rsidRPr="00082425">
        <w:rPr>
          <w:rFonts w:ascii="Times New Roman" w:eastAsia="宋体" w:hAnsi="Times New Roman" w:cs="Times New Roman"/>
        </w:rPr>
        <w:t>）、</w:t>
      </w:r>
      <w:r w:rsidR="005D00F1" w:rsidRPr="00082425">
        <w:rPr>
          <w:rFonts w:ascii="Times New Roman" w:eastAsia="宋体" w:hAnsi="Times New Roman" w:cs="Times New Roman"/>
        </w:rPr>
        <w:t>6-</w:t>
      </w:r>
      <w:r w:rsidR="005D00F1" w:rsidRPr="00082425">
        <w:rPr>
          <w:rFonts w:ascii="Times New Roman" w:eastAsia="宋体" w:hAnsi="Times New Roman" w:cs="Times New Roman"/>
        </w:rPr>
        <w:t>二甲酰黄酮类的补骨脂二氢黄酮（</w:t>
      </w:r>
      <w:r w:rsidR="005D00F1" w:rsidRPr="00082425">
        <w:rPr>
          <w:rFonts w:ascii="Times New Roman" w:eastAsia="宋体" w:hAnsi="Times New Roman" w:cs="Times New Roman"/>
        </w:rPr>
        <w:t>Bavachin</w:t>
      </w:r>
      <w:r w:rsidR="005D00F1" w:rsidRPr="00082425">
        <w:rPr>
          <w:rFonts w:ascii="Times New Roman" w:eastAsia="宋体" w:hAnsi="Times New Roman" w:cs="Times New Roman"/>
        </w:rPr>
        <w:t>），以及苯丙素</w:t>
      </w:r>
      <w:proofErr w:type="gramStart"/>
      <w:r w:rsidR="005D00F1" w:rsidRPr="00082425">
        <w:rPr>
          <w:rFonts w:ascii="Times New Roman" w:eastAsia="宋体" w:hAnsi="Times New Roman" w:cs="Times New Roman"/>
        </w:rPr>
        <w:t>苷</w:t>
      </w:r>
      <w:proofErr w:type="gramEnd"/>
      <w:r w:rsidR="005D00F1" w:rsidRPr="00082425">
        <w:rPr>
          <w:rFonts w:ascii="Times New Roman" w:eastAsia="宋体" w:hAnsi="Times New Roman" w:cs="Times New Roman"/>
        </w:rPr>
        <w:t>类的</w:t>
      </w:r>
      <w:r w:rsidR="005D00F1" w:rsidRPr="00082425">
        <w:rPr>
          <w:rFonts w:ascii="Times New Roman" w:eastAsia="宋体" w:hAnsi="Times New Roman" w:cs="Times New Roman"/>
        </w:rPr>
        <w:t>Leonoside A</w:t>
      </w:r>
      <w:r w:rsidR="005D00F1" w:rsidRPr="00082425">
        <w:rPr>
          <w:rFonts w:ascii="Times New Roman" w:eastAsia="宋体" w:hAnsi="Times New Roman" w:cs="Times New Roman"/>
        </w:rPr>
        <w:t>和咔唑类的四氢咔唑酮等。这些成分共同构成了该复方多靶点、多途径药理作用的物质基础。</w:t>
      </w:r>
    </w:p>
    <w:p w14:paraId="65E70A08" w14:textId="77777777" w:rsidR="005D00F1" w:rsidRPr="00082425" w:rsidRDefault="005D00F1" w:rsidP="00F1505F">
      <w:pPr>
        <w:widowControl/>
        <w:spacing w:line="360" w:lineRule="auto"/>
        <w:jc w:val="both"/>
        <w:rPr>
          <w:rFonts w:ascii="Times New Roman" w:eastAsia="宋体" w:hAnsi="Times New Roman" w:cs="Times New Roman"/>
        </w:rPr>
      </w:pPr>
      <w:r w:rsidRPr="00082425">
        <w:rPr>
          <w:rFonts w:ascii="Times New Roman" w:eastAsia="宋体" w:hAnsi="Times New Roman" w:cs="Times New Roman"/>
        </w:rPr>
        <w:t>从生物活性来看，该复方成分展现出广泛且深入的药理作用。在抗炎与免疫调节方面，</w:t>
      </w:r>
      <w:proofErr w:type="gramStart"/>
      <w:r w:rsidRPr="00082425">
        <w:rPr>
          <w:rFonts w:ascii="Times New Roman" w:eastAsia="宋体" w:hAnsi="Times New Roman" w:cs="Times New Roman"/>
        </w:rPr>
        <w:t>漆黄素</w:t>
      </w:r>
      <w:proofErr w:type="gramEnd"/>
      <w:r w:rsidRPr="00082425">
        <w:rPr>
          <w:rFonts w:ascii="Times New Roman" w:eastAsia="宋体" w:hAnsi="Times New Roman" w:cs="Times New Roman"/>
        </w:rPr>
        <w:t>、大豆素、甘草</w:t>
      </w:r>
      <w:proofErr w:type="gramStart"/>
      <w:r w:rsidRPr="00082425">
        <w:rPr>
          <w:rFonts w:ascii="Times New Roman" w:eastAsia="宋体" w:hAnsi="Times New Roman" w:cs="Times New Roman"/>
        </w:rPr>
        <w:t>苷</w:t>
      </w:r>
      <w:proofErr w:type="gramEnd"/>
      <w:r w:rsidRPr="00082425">
        <w:rPr>
          <w:rFonts w:ascii="Times New Roman" w:eastAsia="宋体" w:hAnsi="Times New Roman" w:cs="Times New Roman"/>
        </w:rPr>
        <w:t>、橙皮</w:t>
      </w:r>
      <w:proofErr w:type="gramStart"/>
      <w:r w:rsidRPr="00082425">
        <w:rPr>
          <w:rFonts w:ascii="Times New Roman" w:eastAsia="宋体" w:hAnsi="Times New Roman" w:cs="Times New Roman"/>
        </w:rPr>
        <w:t>苷</w:t>
      </w:r>
      <w:proofErr w:type="gramEnd"/>
      <w:r w:rsidRPr="00082425">
        <w:rPr>
          <w:rFonts w:ascii="Times New Roman" w:eastAsia="宋体" w:hAnsi="Times New Roman" w:cs="Times New Roman"/>
        </w:rPr>
        <w:t>（</w:t>
      </w:r>
      <w:r w:rsidRPr="00082425">
        <w:rPr>
          <w:rFonts w:ascii="Times New Roman" w:eastAsia="宋体" w:hAnsi="Times New Roman" w:cs="Times New Roman"/>
        </w:rPr>
        <w:t>Hesperedin</w:t>
      </w:r>
      <w:r w:rsidRPr="00082425">
        <w:rPr>
          <w:rFonts w:ascii="Times New Roman" w:eastAsia="宋体" w:hAnsi="Times New Roman" w:cs="Times New Roman"/>
        </w:rPr>
        <w:t>）及补骨脂异黄酮等成分，能通过抑制核因子</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w:t>
      </w:r>
      <w:r w:rsidRPr="00082425">
        <w:rPr>
          <w:rFonts w:ascii="Times New Roman" w:eastAsia="宋体" w:hAnsi="Times New Roman" w:cs="Times New Roman"/>
        </w:rPr>
        <w:t>NF-</w:t>
      </w:r>
      <w:proofErr w:type="spellStart"/>
      <w:r w:rsidRPr="00082425">
        <w:rPr>
          <w:rFonts w:ascii="Times New Roman" w:eastAsia="宋体" w:hAnsi="Times New Roman" w:cs="Times New Roman"/>
        </w:rPr>
        <w:t>κB</w:t>
      </w:r>
      <w:proofErr w:type="spellEnd"/>
      <w:r w:rsidRPr="00082425">
        <w:rPr>
          <w:rFonts w:ascii="Times New Roman" w:eastAsia="宋体" w:hAnsi="Times New Roman" w:cs="Times New Roman"/>
        </w:rPr>
        <w:t>）、丝裂原活化蛋白激酶（</w:t>
      </w:r>
      <w:r w:rsidRPr="00082425">
        <w:rPr>
          <w:rFonts w:ascii="Times New Roman" w:eastAsia="宋体" w:hAnsi="Times New Roman" w:cs="Times New Roman"/>
        </w:rPr>
        <w:t>MAPK</w:t>
      </w:r>
      <w:r w:rsidRPr="00082425">
        <w:rPr>
          <w:rFonts w:ascii="Times New Roman" w:eastAsia="宋体" w:hAnsi="Times New Roman" w:cs="Times New Roman"/>
        </w:rPr>
        <w:t>）、磷脂酰肌醇</w:t>
      </w:r>
      <w:r w:rsidRPr="00082425">
        <w:rPr>
          <w:rFonts w:ascii="Times New Roman" w:eastAsia="宋体" w:hAnsi="Times New Roman" w:cs="Times New Roman"/>
        </w:rPr>
        <w:t>3-</w:t>
      </w:r>
      <w:r w:rsidRPr="00082425">
        <w:rPr>
          <w:rFonts w:ascii="Times New Roman" w:eastAsia="宋体" w:hAnsi="Times New Roman" w:cs="Times New Roman"/>
        </w:rPr>
        <w:t>激酶</w:t>
      </w:r>
      <w:r w:rsidRPr="00082425">
        <w:rPr>
          <w:rFonts w:ascii="Times New Roman" w:eastAsia="宋体" w:hAnsi="Times New Roman" w:cs="Times New Roman"/>
        </w:rPr>
        <w:t>/</w:t>
      </w:r>
      <w:r w:rsidRPr="00082425">
        <w:rPr>
          <w:rFonts w:ascii="Times New Roman" w:eastAsia="宋体" w:hAnsi="Times New Roman" w:cs="Times New Roman"/>
        </w:rPr>
        <w:t>蛋白激酶</w:t>
      </w:r>
      <w:r w:rsidRPr="00082425">
        <w:rPr>
          <w:rFonts w:ascii="Times New Roman" w:eastAsia="宋体" w:hAnsi="Times New Roman" w:cs="Times New Roman"/>
        </w:rPr>
        <w:t>B</w:t>
      </w:r>
      <w:r w:rsidRPr="00082425">
        <w:rPr>
          <w:rFonts w:ascii="Times New Roman" w:eastAsia="宋体" w:hAnsi="Times New Roman" w:cs="Times New Roman"/>
        </w:rPr>
        <w:t>（</w:t>
      </w:r>
      <w:r w:rsidRPr="00082425">
        <w:rPr>
          <w:rFonts w:ascii="Times New Roman" w:eastAsia="宋体" w:hAnsi="Times New Roman" w:cs="Times New Roman"/>
        </w:rPr>
        <w:t>PI3K/Akt</w:t>
      </w:r>
      <w:r w:rsidRPr="00082425">
        <w:rPr>
          <w:rFonts w:ascii="Times New Roman" w:eastAsia="宋体" w:hAnsi="Times New Roman" w:cs="Times New Roman"/>
        </w:rPr>
        <w:t>）等关键炎症信号通路，减少炎症介质产生，从而在骨关节炎、溃疡性结肠炎、急性肺损伤等炎症模型中发挥保护作用。其抗肿瘤活性机制多元，</w:t>
      </w:r>
      <w:proofErr w:type="gramStart"/>
      <w:r w:rsidRPr="00082425">
        <w:rPr>
          <w:rFonts w:ascii="Times New Roman" w:eastAsia="宋体" w:hAnsi="Times New Roman" w:cs="Times New Roman"/>
        </w:rPr>
        <w:t>漆黄素</w:t>
      </w:r>
      <w:proofErr w:type="gramEnd"/>
      <w:r w:rsidRPr="00082425">
        <w:rPr>
          <w:rFonts w:ascii="Times New Roman" w:eastAsia="宋体" w:hAnsi="Times New Roman" w:cs="Times New Roman"/>
        </w:rPr>
        <w:t>、大豆素、染料木素、补骨脂异黄酮等可通过下调</w:t>
      </w:r>
      <w:r w:rsidRPr="00082425">
        <w:rPr>
          <w:rFonts w:ascii="Times New Roman" w:eastAsia="宋体" w:hAnsi="Times New Roman" w:cs="Times New Roman"/>
        </w:rPr>
        <w:t>STAT3</w:t>
      </w:r>
      <w:r w:rsidRPr="00082425">
        <w:rPr>
          <w:rFonts w:ascii="Times New Roman" w:eastAsia="宋体" w:hAnsi="Times New Roman" w:cs="Times New Roman"/>
        </w:rPr>
        <w:t>、抑制</w:t>
      </w:r>
      <w:r w:rsidRPr="00082425">
        <w:rPr>
          <w:rFonts w:ascii="Times New Roman" w:eastAsia="宋体" w:hAnsi="Times New Roman" w:cs="Times New Roman"/>
        </w:rPr>
        <w:t>Raf/MEK/ERK</w:t>
      </w:r>
      <w:r w:rsidRPr="00082425">
        <w:rPr>
          <w:rFonts w:ascii="Times New Roman" w:eastAsia="宋体" w:hAnsi="Times New Roman" w:cs="Times New Roman"/>
        </w:rPr>
        <w:t>或</w:t>
      </w:r>
      <w:r w:rsidRPr="00082425">
        <w:rPr>
          <w:rFonts w:ascii="Times New Roman" w:eastAsia="宋体" w:hAnsi="Times New Roman" w:cs="Times New Roman"/>
        </w:rPr>
        <w:t>PTEN/PI3K/AKT</w:t>
      </w:r>
      <w:r w:rsidRPr="00082425">
        <w:rPr>
          <w:rFonts w:ascii="Times New Roman" w:eastAsia="宋体" w:hAnsi="Times New Roman" w:cs="Times New Roman"/>
        </w:rPr>
        <w:t>通路，诱导癌细胞凋亡与周期阻滞，并对乳腺癌、卵巢癌、结直肠癌等多种癌细胞系显示出抑制增殖与转移的潜力。抗氧化损伤是另一突出功效，橙皮</w:t>
      </w:r>
      <w:proofErr w:type="gramStart"/>
      <w:r w:rsidRPr="00082425">
        <w:rPr>
          <w:rFonts w:ascii="Times New Roman" w:eastAsia="宋体" w:hAnsi="Times New Roman" w:cs="Times New Roman"/>
        </w:rPr>
        <w:t>苷</w:t>
      </w:r>
      <w:proofErr w:type="gramEnd"/>
      <w:r w:rsidRPr="00082425">
        <w:rPr>
          <w:rFonts w:ascii="Times New Roman" w:eastAsia="宋体" w:hAnsi="Times New Roman" w:cs="Times New Roman"/>
        </w:rPr>
        <w:t>能激活</w:t>
      </w:r>
      <w:r w:rsidRPr="00082425">
        <w:rPr>
          <w:rFonts w:ascii="Times New Roman" w:eastAsia="宋体" w:hAnsi="Times New Roman" w:cs="Times New Roman"/>
        </w:rPr>
        <w:t>ERK/Nrf2</w:t>
      </w:r>
      <w:r w:rsidRPr="00082425">
        <w:rPr>
          <w:rFonts w:ascii="Times New Roman" w:eastAsia="宋体" w:hAnsi="Times New Roman" w:cs="Times New Roman"/>
        </w:rPr>
        <w:t>通路增强细胞抗氧化防御，</w:t>
      </w:r>
      <w:r w:rsidRPr="00082425">
        <w:rPr>
          <w:rFonts w:ascii="Times New Roman" w:eastAsia="宋体" w:hAnsi="Times New Roman" w:cs="Times New Roman"/>
        </w:rPr>
        <w:t>Leonoside A</w:t>
      </w:r>
      <w:r w:rsidRPr="00082425">
        <w:rPr>
          <w:rFonts w:ascii="Times New Roman" w:eastAsia="宋体" w:hAnsi="Times New Roman" w:cs="Times New Roman"/>
        </w:rPr>
        <w:t>也被报道具有抗氧化作用，有助于抵御氧化应激相关疾病。在调节代谢与骨骼健康方面，</w:t>
      </w:r>
      <w:proofErr w:type="gramStart"/>
      <w:r w:rsidRPr="00082425">
        <w:rPr>
          <w:rFonts w:ascii="Times New Roman" w:eastAsia="宋体" w:hAnsi="Times New Roman" w:cs="Times New Roman"/>
        </w:rPr>
        <w:t>漆黄素</w:t>
      </w:r>
      <w:proofErr w:type="gramEnd"/>
      <w:r w:rsidRPr="00082425">
        <w:rPr>
          <w:rFonts w:ascii="Times New Roman" w:eastAsia="宋体" w:hAnsi="Times New Roman" w:cs="Times New Roman"/>
        </w:rPr>
        <w:t>和补骨脂异黄酮能激活</w:t>
      </w:r>
      <w:proofErr w:type="spellStart"/>
      <w:r w:rsidRPr="00082425">
        <w:rPr>
          <w:rFonts w:ascii="Times New Roman" w:eastAsia="宋体" w:hAnsi="Times New Roman" w:cs="Times New Roman"/>
        </w:rPr>
        <w:t>Wnt</w:t>
      </w:r>
      <w:proofErr w:type="spellEnd"/>
      <w:r w:rsidRPr="00082425">
        <w:rPr>
          <w:rFonts w:ascii="Times New Roman" w:eastAsia="宋体" w:hAnsi="Times New Roman" w:cs="Times New Roman"/>
        </w:rPr>
        <w:t>/β-</w:t>
      </w:r>
      <w:r w:rsidRPr="00082425">
        <w:rPr>
          <w:rFonts w:ascii="Times New Roman" w:eastAsia="宋体" w:hAnsi="Times New Roman" w:cs="Times New Roman"/>
        </w:rPr>
        <w:t>连环蛋白通路促进成骨分化，有益于骨骼维护；大豆素和补骨脂二氢黄酮则显示出调节葡萄糖摄取、改善胰岛素抵抗及减轻肝脏脂肪变性的作用，提示其在代谢性疾病管理中的应用前景。此外，部分成分如芹菜素</w:t>
      </w:r>
      <w:r w:rsidRPr="00082425">
        <w:rPr>
          <w:rFonts w:ascii="Times New Roman" w:eastAsia="宋体" w:hAnsi="Times New Roman" w:cs="Times New Roman"/>
        </w:rPr>
        <w:t>-7-O-</w:t>
      </w:r>
      <w:r w:rsidRPr="00082425">
        <w:rPr>
          <w:rFonts w:ascii="Times New Roman" w:eastAsia="宋体" w:hAnsi="Times New Roman" w:cs="Times New Roman"/>
        </w:rPr>
        <w:t>葡萄糖苷具有抗菌生物膜活性，四氢咔唑</w:t>
      </w:r>
      <w:proofErr w:type="gramStart"/>
      <w:r w:rsidRPr="00082425">
        <w:rPr>
          <w:rFonts w:ascii="Times New Roman" w:eastAsia="宋体" w:hAnsi="Times New Roman" w:cs="Times New Roman"/>
        </w:rPr>
        <w:t>酮</w:t>
      </w:r>
      <w:proofErr w:type="gramEnd"/>
      <w:r w:rsidRPr="00082425">
        <w:rPr>
          <w:rFonts w:ascii="Times New Roman" w:eastAsia="宋体" w:hAnsi="Times New Roman" w:cs="Times New Roman"/>
        </w:rPr>
        <w:t>衍生物也表现出抗菌特性。</w:t>
      </w:r>
    </w:p>
    <w:p w14:paraId="47310101" w14:textId="27FB9D85" w:rsidR="00022EE1" w:rsidRPr="00082425" w:rsidRDefault="005D00F1" w:rsidP="00F1505F">
      <w:pPr>
        <w:widowControl/>
        <w:spacing w:line="360" w:lineRule="auto"/>
        <w:jc w:val="both"/>
        <w:rPr>
          <w:rFonts w:ascii="Times New Roman" w:eastAsia="宋体" w:hAnsi="Times New Roman" w:cs="Times New Roman"/>
        </w:rPr>
      </w:pPr>
      <w:r w:rsidRPr="00082425">
        <w:rPr>
          <w:rFonts w:ascii="Times New Roman" w:eastAsia="宋体" w:hAnsi="Times New Roman" w:cs="Times New Roman"/>
        </w:rPr>
        <w:t>综上所述，</w:t>
      </w:r>
      <w:r w:rsidR="00A56677" w:rsidRPr="00082425">
        <w:rPr>
          <w:rFonts w:ascii="Times New Roman" w:eastAsia="宋体" w:hAnsi="Times New Roman" w:cs="Times New Roman"/>
        </w:rPr>
        <w:t>DIGESTIVE CARE</w:t>
      </w:r>
      <w:r w:rsidRPr="00082425">
        <w:rPr>
          <w:rFonts w:ascii="Times New Roman" w:eastAsia="宋体" w:hAnsi="Times New Roman" w:cs="Times New Roman"/>
        </w:rPr>
        <w:t>通过上述多种活性成分的协同与互补，在抗炎、抗肿瘤、抗氧化、代谢调节及组织保护等多个生物学层面构成了一个综合性的作用网络。这体现了</w:t>
      </w:r>
      <w:r w:rsidR="00A56677" w:rsidRPr="00082425">
        <w:rPr>
          <w:rFonts w:ascii="Times New Roman" w:eastAsia="宋体" w:hAnsi="Times New Roman" w:cs="Times New Roman"/>
        </w:rPr>
        <w:t>DIGESTIVE CARE</w:t>
      </w:r>
      <w:r w:rsidRPr="00082425">
        <w:rPr>
          <w:rFonts w:ascii="Times New Roman" w:eastAsia="宋体" w:hAnsi="Times New Roman" w:cs="Times New Roman"/>
        </w:rPr>
        <w:t>多成分、多靶点、整合调节的特点，为其在慢性炎症性疾病、肿瘤辅助治疗、代谢综合征及退行性疾病等领域的潜在应用提供了重要的科学依据。</w:t>
      </w:r>
      <w:r w:rsidR="00022EE1" w:rsidRPr="00082425">
        <w:rPr>
          <w:rFonts w:ascii="Times New Roman" w:eastAsia="宋体" w:hAnsi="Times New Roman" w:cs="Times New Roman"/>
          <w:lang w:val="pt-BR"/>
        </w:rPr>
        <w:br w:type="page"/>
      </w:r>
    </w:p>
    <w:p w14:paraId="2062396B" w14:textId="70389ECD" w:rsidR="00303D0E" w:rsidRPr="00082425" w:rsidRDefault="00303D0E" w:rsidP="009E12FD">
      <w:pPr>
        <w:rPr>
          <w:rFonts w:ascii="Times New Roman" w:eastAsia="宋体" w:hAnsi="Times New Roman" w:cs="Times New Roman"/>
          <w:b/>
          <w:bCs/>
        </w:rPr>
      </w:pPr>
      <w:r w:rsidRPr="00082425">
        <w:rPr>
          <w:rFonts w:ascii="Times New Roman" w:eastAsia="宋体" w:hAnsi="Times New Roman" w:cs="Times New Roman"/>
          <w:b/>
          <w:bCs/>
          <w:lang w:val="pt-BR"/>
        </w:rPr>
        <w:lastRenderedPageBreak/>
        <w:t>参考文献</w:t>
      </w:r>
    </w:p>
    <w:p w14:paraId="356A924E" w14:textId="77777777" w:rsidR="009E53C2" w:rsidRPr="00082425" w:rsidRDefault="00303D0E" w:rsidP="009E53C2">
      <w:pPr>
        <w:pStyle w:val="Bibliography"/>
      </w:pPr>
      <w:r w:rsidRPr="00082425">
        <w:rPr>
          <w:rFonts w:eastAsia="宋体"/>
          <w:lang w:val="pt-BR"/>
        </w:rPr>
        <w:fldChar w:fldCharType="begin"/>
      </w:r>
      <w:r w:rsidR="009E53C2" w:rsidRPr="00082425">
        <w:rPr>
          <w:rFonts w:eastAsia="宋体"/>
        </w:rPr>
        <w:instrText xml:space="preserve"> ADDIN ZOTERO_BIBL {"uncited":[],"omitted":[],"custom":[]} CSL_BIBLIOGRAPHY </w:instrText>
      </w:r>
      <w:r w:rsidRPr="00082425">
        <w:rPr>
          <w:rFonts w:eastAsia="宋体"/>
          <w:lang w:val="pt-BR"/>
        </w:rPr>
        <w:fldChar w:fldCharType="separate"/>
      </w:r>
      <w:r w:rsidR="009E53C2" w:rsidRPr="00082425">
        <w:t>[1]</w:t>
      </w:r>
      <w:r w:rsidR="009E53C2" w:rsidRPr="00082425">
        <w:tab/>
        <w:t xml:space="preserve">Kirmizibekmez H., Ariburnu E., Masullo M., et al. Iridoid, phenylethanoid and flavonoid glycosides from Sideritis trojana[J]. </w:t>
      </w:r>
      <w:r w:rsidR="009E53C2" w:rsidRPr="00082425">
        <w:rPr>
          <w:i/>
          <w:iCs/>
        </w:rPr>
        <w:t>Fitoterapia</w:t>
      </w:r>
      <w:r w:rsidR="009E53C2" w:rsidRPr="00082425">
        <w:t>, 2012, 83(1): 130-6.</w:t>
      </w:r>
    </w:p>
    <w:p w14:paraId="547B91B4" w14:textId="77777777" w:rsidR="009E53C2" w:rsidRPr="00082425" w:rsidRDefault="009E53C2" w:rsidP="009E53C2">
      <w:pPr>
        <w:pStyle w:val="Bibliography"/>
      </w:pPr>
      <w:r w:rsidRPr="00082425">
        <w:t>[2]</w:t>
      </w:r>
      <w:r w:rsidRPr="00082425">
        <w:tab/>
        <w:t xml:space="preserve">Li Y., Chen Z., Feng Z., et al. Hepatoprotective glycosides from Leonurus japonicus Houtt[J]. </w:t>
      </w:r>
      <w:r w:rsidRPr="00082425">
        <w:rPr>
          <w:i/>
          <w:iCs/>
        </w:rPr>
        <w:t>Carbohydrate Research</w:t>
      </w:r>
      <w:r w:rsidRPr="00082425">
        <w:t>, 2012, 348: 42-6.</w:t>
      </w:r>
    </w:p>
    <w:p w14:paraId="2391784A" w14:textId="77777777" w:rsidR="009E53C2" w:rsidRPr="00082425" w:rsidRDefault="009E53C2" w:rsidP="009E53C2">
      <w:pPr>
        <w:pStyle w:val="Bibliography"/>
      </w:pPr>
      <w:r w:rsidRPr="00082425">
        <w:t>[3]</w:t>
      </w:r>
      <w:r w:rsidRPr="00082425">
        <w:tab/>
        <w:t xml:space="preserve">Li P., Yuan L., Jiang Y., et al. Liquiritin as a Tumor Suppressor Prevents the Development of Breast Cancer via the Epidermal Growth Factor Receptor/Mitogen-Activated Protein Kinase 8 Signaling Pathway[J]. </w:t>
      </w:r>
      <w:r w:rsidRPr="00082425">
        <w:rPr>
          <w:i/>
          <w:iCs/>
        </w:rPr>
        <w:t>DNA and cell biology</w:t>
      </w:r>
      <w:r w:rsidRPr="00082425">
        <w:t>, 2025, 44(4): 197-208.</w:t>
      </w:r>
    </w:p>
    <w:p w14:paraId="1EC076D1" w14:textId="77777777" w:rsidR="009E53C2" w:rsidRPr="00082425" w:rsidRDefault="009E53C2" w:rsidP="009E53C2">
      <w:pPr>
        <w:pStyle w:val="Bibliography"/>
      </w:pPr>
      <w:r w:rsidRPr="00082425">
        <w:t>[4]</w:t>
      </w:r>
      <w:r w:rsidRPr="00082425">
        <w:tab/>
        <w:t xml:space="preserve">Yang B., Luo J., Wang J., et al. Liquiritin in Aiduqing formula inhibits breast cancer neoangiogenesis by suppressing CTSK-mediated lysosomal degradation of CXCL1 in tumor-associated macrophages[J]. </w:t>
      </w:r>
      <w:r w:rsidRPr="00082425">
        <w:rPr>
          <w:i/>
          <w:iCs/>
        </w:rPr>
        <w:t>Phytomedicine: International Journal of Phytotherapy and Phytopharmacology</w:t>
      </w:r>
      <w:r w:rsidRPr="00082425">
        <w:t>, 2025, 148: 157358.</w:t>
      </w:r>
    </w:p>
    <w:p w14:paraId="589AF1C9" w14:textId="77777777" w:rsidR="009E53C2" w:rsidRPr="00082425" w:rsidRDefault="009E53C2" w:rsidP="009E53C2">
      <w:pPr>
        <w:pStyle w:val="Bibliography"/>
      </w:pPr>
      <w:r w:rsidRPr="00082425">
        <w:t>[5]</w:t>
      </w:r>
      <w:r w:rsidRPr="00082425">
        <w:tab/>
        <w:t xml:space="preserve">Yang X., Dang X., Zhang X., et al. Liquiritin reduces lipopolysaccharide-aroused HaCaT cell inflammation damage via regulation of microRNA-31/MyD88[J]. </w:t>
      </w:r>
      <w:r w:rsidRPr="00082425">
        <w:rPr>
          <w:i/>
          <w:iCs/>
        </w:rPr>
        <w:t>International Immunopharmacology</w:t>
      </w:r>
      <w:r w:rsidRPr="00082425">
        <w:t>, 2021, 101(Pt B): 108283.</w:t>
      </w:r>
    </w:p>
    <w:p w14:paraId="4B3A9F42" w14:textId="77777777" w:rsidR="009E53C2" w:rsidRPr="00082425" w:rsidRDefault="009E53C2" w:rsidP="009E53C2">
      <w:pPr>
        <w:pStyle w:val="Bibliography"/>
      </w:pPr>
      <w:r w:rsidRPr="00082425">
        <w:t>[6]</w:t>
      </w:r>
      <w:r w:rsidRPr="00082425">
        <w:tab/>
        <w:t xml:space="preserve">Qiu M., Cheng L., Xu J., et al. Liquiritin reduces chondrocyte apoptosis through P53/PUMA signaling pathway to alleviate osteoarthritis[J]. </w:t>
      </w:r>
      <w:r w:rsidRPr="00082425">
        <w:rPr>
          <w:i/>
          <w:iCs/>
        </w:rPr>
        <w:t>Life Sciences</w:t>
      </w:r>
      <w:r w:rsidRPr="00082425">
        <w:t>, 2024, 343: 122536.</w:t>
      </w:r>
    </w:p>
    <w:p w14:paraId="22FC8EC1" w14:textId="77777777" w:rsidR="009E53C2" w:rsidRPr="00082425" w:rsidRDefault="009E53C2" w:rsidP="009E53C2">
      <w:pPr>
        <w:pStyle w:val="Bibliography"/>
      </w:pPr>
      <w:r w:rsidRPr="00082425">
        <w:t>[7]</w:t>
      </w:r>
      <w:r w:rsidRPr="00082425">
        <w:tab/>
        <w:t xml:space="preserve">Nakatani Y., Kobe A., Kuriya M., et al. Neuroprotective effect of liquiritin as an antioxidant via an increase in glucose-6-phosphate dehydrogenase expression on B65 neuroblastoma cells[J]. </w:t>
      </w:r>
      <w:r w:rsidRPr="00082425">
        <w:rPr>
          <w:i/>
          <w:iCs/>
        </w:rPr>
        <w:t>European Journal of Pharmacology</w:t>
      </w:r>
      <w:r w:rsidRPr="00082425">
        <w:t>, 2017, 815: 381-90.</w:t>
      </w:r>
    </w:p>
    <w:p w14:paraId="4DFD4B8B" w14:textId="77777777" w:rsidR="009E53C2" w:rsidRPr="00082425" w:rsidRDefault="009E53C2" w:rsidP="009E53C2">
      <w:pPr>
        <w:pStyle w:val="Bibliography"/>
      </w:pPr>
      <w:r w:rsidRPr="00082425">
        <w:t>[8]</w:t>
      </w:r>
      <w:r w:rsidRPr="00082425">
        <w:tab/>
        <w:t xml:space="preserve">Choi E.M., Suh K.S., Lee Y.S. Liquiritigenin restores osteoblast damage through regulating oxidative stress and mitochondrial dysfunction[J]. </w:t>
      </w:r>
      <w:r w:rsidRPr="00082425">
        <w:rPr>
          <w:i/>
          <w:iCs/>
        </w:rPr>
        <w:t>Phytotherapy research: PTR</w:t>
      </w:r>
      <w:r w:rsidRPr="00082425">
        <w:t>, 2014, 28(6): 880-6.</w:t>
      </w:r>
    </w:p>
    <w:p w14:paraId="0947EDA3" w14:textId="77777777" w:rsidR="009E53C2" w:rsidRPr="00082425" w:rsidRDefault="009E53C2" w:rsidP="009E53C2">
      <w:pPr>
        <w:pStyle w:val="Bibliography"/>
      </w:pPr>
      <w:r w:rsidRPr="00082425">
        <w:t>[9]</w:t>
      </w:r>
      <w:r w:rsidRPr="00082425">
        <w:tab/>
        <w:t xml:space="preserve">Pei Z.J., Li C., Dai W., et al. The Anti-Biofilm Activity and Mechanism of Apigenin-7-O-Glucoside Against Staphylococcus aureus and Escherichia coli[J]. </w:t>
      </w:r>
      <w:r w:rsidRPr="00082425">
        <w:rPr>
          <w:i/>
          <w:iCs/>
        </w:rPr>
        <w:t>Infection and Drug Resistance</w:t>
      </w:r>
      <w:r w:rsidRPr="00082425">
        <w:t>, 2023, 16: 2129-40.</w:t>
      </w:r>
    </w:p>
    <w:p w14:paraId="27744D66" w14:textId="77777777" w:rsidR="009E53C2" w:rsidRPr="00082425" w:rsidRDefault="009E53C2" w:rsidP="009E53C2">
      <w:pPr>
        <w:pStyle w:val="Bibliography"/>
      </w:pPr>
      <w:r w:rsidRPr="00082425">
        <w:t>[10]</w:t>
      </w:r>
      <w:r w:rsidRPr="00082425">
        <w:tab/>
        <w:t xml:space="preserve">Zhang Y., Li Y., Li C., et al. Paeonia × suffruticosa Andrews leaf extract and its main component apigenin 7-O-glucoside ameliorate hyperuricemia by inhibiting xanthine oxidase activity and regulating renal urate transporters[J]. </w:t>
      </w:r>
      <w:r w:rsidRPr="00082425">
        <w:rPr>
          <w:i/>
          <w:iCs/>
        </w:rPr>
        <w:t>Phytomedicine: International Journal of Phytotherapy and Phytopharmacology</w:t>
      </w:r>
      <w:r w:rsidRPr="00082425">
        <w:t>, 2023, 118: 154957.</w:t>
      </w:r>
    </w:p>
    <w:p w14:paraId="33CA0AF6" w14:textId="77777777" w:rsidR="009E53C2" w:rsidRPr="00082425" w:rsidRDefault="009E53C2" w:rsidP="009E53C2">
      <w:pPr>
        <w:pStyle w:val="Bibliography"/>
      </w:pPr>
      <w:r w:rsidRPr="00082425">
        <w:t>[11]</w:t>
      </w:r>
      <w:r w:rsidRPr="00082425">
        <w:tab/>
        <w:t xml:space="preserve">Liu M.M., Ma R.H., Ni Z.J., et al. Apigenin 7-O-glucoside promotes cell apoptosis through the PTEN/PI3K/AKT pathway and inhibits cell migration in cervical cancer HeLa </w:t>
      </w:r>
      <w:r w:rsidRPr="00082425">
        <w:lastRenderedPageBreak/>
        <w:t xml:space="preserve">cells[J]. </w:t>
      </w:r>
      <w:r w:rsidRPr="00082425">
        <w:rPr>
          <w:i/>
          <w:iCs/>
        </w:rPr>
        <w:t>Food and Chemical Toxicology: An International Journal Published for the British Industrial Biological Research Association</w:t>
      </w:r>
      <w:r w:rsidRPr="00082425">
        <w:t>, 2020, 146: 111843.</w:t>
      </w:r>
    </w:p>
    <w:p w14:paraId="69134F17" w14:textId="77777777" w:rsidR="009E53C2" w:rsidRPr="00082425" w:rsidRDefault="009E53C2" w:rsidP="009E53C2">
      <w:pPr>
        <w:pStyle w:val="Bibliography"/>
      </w:pPr>
      <w:r w:rsidRPr="00082425">
        <w:t>[12]</w:t>
      </w:r>
      <w:r w:rsidRPr="00082425">
        <w:tab/>
        <w:t xml:space="preserve">Velmurugan B.K., Lin J.T., Mahalakshmi B., et al. Luteolin-7-O-Glucoside Inhibits Oral Cancer Cell Migration and Invasion by Regulating Matrix Metalloproteinase-2 Expression and Extracellular Signal-Regulated Kinase Pathway[J]. </w:t>
      </w:r>
      <w:r w:rsidRPr="00082425">
        <w:rPr>
          <w:i/>
          <w:iCs/>
        </w:rPr>
        <w:t>Biomolecules</w:t>
      </w:r>
      <w:r w:rsidRPr="00082425">
        <w:t>, 2020, 10(4): 502.</w:t>
      </w:r>
    </w:p>
    <w:p w14:paraId="24CE0963" w14:textId="77777777" w:rsidR="009E53C2" w:rsidRPr="00082425" w:rsidRDefault="009E53C2" w:rsidP="009E53C2">
      <w:pPr>
        <w:pStyle w:val="Bibliography"/>
      </w:pPr>
      <w:r w:rsidRPr="00082425">
        <w:t>[13]</w:t>
      </w:r>
      <w:r w:rsidRPr="00082425">
        <w:tab/>
        <w:t xml:space="preserve">Song Y.S., Park C.M. Luteolin and luteolin-7-O-glucoside strengthen antioxidative potential through the modulation of Nrf2/MAPK mediated HO-1 signaling cascade in RAW 264.7 cells[J]. </w:t>
      </w:r>
      <w:r w:rsidRPr="00082425">
        <w:rPr>
          <w:i/>
          <w:iCs/>
        </w:rPr>
        <w:t>Food and Chemical Toxicology: An International Journal Published for the British Industrial Biological Research Association</w:t>
      </w:r>
      <w:r w:rsidRPr="00082425">
        <w:t>, 2014, 65: 70-5.</w:t>
      </w:r>
    </w:p>
    <w:p w14:paraId="0F4AE140" w14:textId="77777777" w:rsidR="009E53C2" w:rsidRPr="00082425" w:rsidRDefault="009E53C2" w:rsidP="009E53C2">
      <w:pPr>
        <w:pStyle w:val="Bibliography"/>
      </w:pPr>
      <w:r w:rsidRPr="00082425">
        <w:t>[14]</w:t>
      </w:r>
      <w:r w:rsidRPr="00082425">
        <w:tab/>
        <w:t xml:space="preserve">Parhiz H., Roohbakhsh A., Soltani F., et al. Antioxidant and anti-inflammatory properties of the citrus flavonoids hesperidin and hesperetin: an updated review of their molecular mechanisms and experimental models[J]. </w:t>
      </w:r>
      <w:r w:rsidRPr="00082425">
        <w:rPr>
          <w:i/>
          <w:iCs/>
        </w:rPr>
        <w:t>Phytotherapy research: PTR</w:t>
      </w:r>
      <w:r w:rsidRPr="00082425">
        <w:t>, 2015, 29(3): 323-31.</w:t>
      </w:r>
    </w:p>
    <w:p w14:paraId="46B01643" w14:textId="77777777" w:rsidR="009E53C2" w:rsidRPr="00082425" w:rsidRDefault="009E53C2" w:rsidP="009E53C2">
      <w:pPr>
        <w:pStyle w:val="Bibliography"/>
      </w:pPr>
      <w:r w:rsidRPr="00082425">
        <w:t>[15]</w:t>
      </w:r>
      <w:r w:rsidRPr="00082425">
        <w:tab/>
        <w:t xml:space="preserve">Ferreira de Oliveira J.M.P., Santos C., Fernandes E. Therapeutic potential of hesperidin and its aglycone hesperetin: Cell cycle regulation and apoptosis induction in cancer models[J]. </w:t>
      </w:r>
      <w:r w:rsidRPr="00082425">
        <w:rPr>
          <w:i/>
          <w:iCs/>
        </w:rPr>
        <w:t>Phytomedicine: International Journal of Phytotherapy and Phytopharmacology</w:t>
      </w:r>
      <w:r w:rsidRPr="00082425">
        <w:t>, 2020, 73: 152887.</w:t>
      </w:r>
    </w:p>
    <w:p w14:paraId="6C52E327" w14:textId="77777777" w:rsidR="009E53C2" w:rsidRPr="00082425" w:rsidRDefault="009E53C2" w:rsidP="009E53C2">
      <w:pPr>
        <w:pStyle w:val="Bibliography"/>
        <w:rPr>
          <w:lang w:val="pt-BR"/>
        </w:rPr>
      </w:pPr>
      <w:r w:rsidRPr="00082425">
        <w:t>[16]</w:t>
      </w:r>
      <w:r w:rsidRPr="00082425">
        <w:tab/>
        <w:t xml:space="preserve">Song B., Hao M., Zhang S., et al. Comprehensive review of Hesperetin: Advancements in pharmacokinetics, pharmacological effects, and novel formulations[J]. </w:t>
      </w:r>
      <w:r w:rsidRPr="00082425">
        <w:rPr>
          <w:i/>
          <w:iCs/>
          <w:lang w:val="pt-BR"/>
        </w:rPr>
        <w:t>Fitoterapia</w:t>
      </w:r>
      <w:r w:rsidRPr="00082425">
        <w:rPr>
          <w:lang w:val="pt-BR"/>
        </w:rPr>
        <w:t>, 2024, 179: 106206.</w:t>
      </w:r>
    </w:p>
    <w:p w14:paraId="42E12EB4" w14:textId="77777777" w:rsidR="009E53C2" w:rsidRPr="00082425" w:rsidRDefault="009E53C2" w:rsidP="009E53C2">
      <w:pPr>
        <w:pStyle w:val="Bibliography"/>
      </w:pPr>
      <w:r w:rsidRPr="00082425">
        <w:rPr>
          <w:lang w:val="pt-BR"/>
        </w:rPr>
        <w:t>[17]</w:t>
      </w:r>
      <w:r w:rsidRPr="00082425">
        <w:rPr>
          <w:lang w:val="pt-BR"/>
        </w:rPr>
        <w:tab/>
        <w:t xml:space="preserve">Giménez-Bastida J.A., González-Sarrías A., Vallejo F., et al. </w:t>
      </w:r>
      <w:r w:rsidRPr="00082425">
        <w:t xml:space="preserve">Hesperetin and its sulfate and glucuronide metabolites inhibit TNF-α induced human aortic endothelial cell migration and decrease plasminogen activator inhibitor-1 (PAI-1) levels[J]. </w:t>
      </w:r>
      <w:r w:rsidRPr="00082425">
        <w:rPr>
          <w:i/>
          <w:iCs/>
        </w:rPr>
        <w:t>Food &amp; Function</w:t>
      </w:r>
      <w:r w:rsidRPr="00082425">
        <w:t>, 2016, 7(1): 118-26.</w:t>
      </w:r>
    </w:p>
    <w:p w14:paraId="53C979A5" w14:textId="77777777" w:rsidR="009E53C2" w:rsidRPr="00082425" w:rsidRDefault="009E53C2" w:rsidP="009E53C2">
      <w:pPr>
        <w:pStyle w:val="Bibliography"/>
      </w:pPr>
      <w:r w:rsidRPr="00082425">
        <w:t>[18]</w:t>
      </w:r>
      <w:r w:rsidRPr="00082425">
        <w:tab/>
        <w:t xml:space="preserve">Yang H.L., Chen S.C., Senthil Kumar K.J., et al. Antioxidant and anti-inflammatory potential of hesperetin metabolites obtained from hesperetin-administered rat serum: an ex vivo approach[J]. </w:t>
      </w:r>
      <w:r w:rsidRPr="00082425">
        <w:rPr>
          <w:i/>
          <w:iCs/>
        </w:rPr>
        <w:t>Journal of Agricultural and Food Chemistry</w:t>
      </w:r>
      <w:r w:rsidRPr="00082425">
        <w:t>, 2012, 60(1): 522-32.</w:t>
      </w:r>
    </w:p>
    <w:p w14:paraId="734C8901" w14:textId="77777777" w:rsidR="009E53C2" w:rsidRPr="00082425" w:rsidRDefault="009E53C2" w:rsidP="009E53C2">
      <w:pPr>
        <w:pStyle w:val="Bibliography"/>
      </w:pPr>
      <w:r w:rsidRPr="00082425">
        <w:t>[19]</w:t>
      </w:r>
      <w:r w:rsidRPr="00082425">
        <w:tab/>
        <w:t xml:space="preserve">Molagoda I.M.N., Kang C.H., Lee M.H., et al. Fisetin promotes osteoblast differentiation and osteogenesis through GSK-3β phosphorylation at Ser9 and consequent β-catenin activation, inhibiting osteoporosis[J]. </w:t>
      </w:r>
      <w:r w:rsidRPr="00082425">
        <w:rPr>
          <w:i/>
          <w:iCs/>
        </w:rPr>
        <w:t>Biochemical Pharmacology</w:t>
      </w:r>
      <w:r w:rsidRPr="00082425">
        <w:t>, 2021, 192: 114676.</w:t>
      </w:r>
    </w:p>
    <w:p w14:paraId="5A30D1F0" w14:textId="77777777" w:rsidR="009E53C2" w:rsidRPr="00082425" w:rsidRDefault="009E53C2" w:rsidP="009E53C2">
      <w:pPr>
        <w:pStyle w:val="Bibliography"/>
      </w:pPr>
      <w:r w:rsidRPr="00082425">
        <w:t>[20]</w:t>
      </w:r>
      <w:r w:rsidRPr="00082425">
        <w:tab/>
        <w:t xml:space="preserve">Léotoing L., Davicco M.J., Lebecque P., et al. The flavonoid fisetin promotes osteoblasts differentiation through Runx2 transcriptional activity[J]. </w:t>
      </w:r>
      <w:r w:rsidRPr="00082425">
        <w:rPr>
          <w:i/>
          <w:iCs/>
        </w:rPr>
        <w:t>Molecular Nutrition &amp; Food Research</w:t>
      </w:r>
      <w:r w:rsidRPr="00082425">
        <w:t>, 2014, 58(6): 1239-48.</w:t>
      </w:r>
    </w:p>
    <w:p w14:paraId="1DF2D7A8" w14:textId="77777777" w:rsidR="009E53C2" w:rsidRPr="00082425" w:rsidRDefault="009E53C2" w:rsidP="009E53C2">
      <w:pPr>
        <w:pStyle w:val="Bibliography"/>
      </w:pPr>
      <w:r w:rsidRPr="00082425">
        <w:t>[21]</w:t>
      </w:r>
      <w:r w:rsidRPr="00082425">
        <w:tab/>
        <w:t xml:space="preserve">Peng H.L., Huang W.C., Cheng S.C., et al. Fisetin inhibits the generation of </w:t>
      </w:r>
      <w:r w:rsidRPr="00082425">
        <w:lastRenderedPageBreak/>
        <w:t xml:space="preserve">inflammatory mediators in interleukin-1β-induced human lung epithelial cells by suppressing the NF-κB and ERK1/2 pathways[J]. </w:t>
      </w:r>
      <w:r w:rsidRPr="00082425">
        <w:rPr>
          <w:i/>
          <w:iCs/>
        </w:rPr>
        <w:t>International Immunopharmacology</w:t>
      </w:r>
      <w:r w:rsidRPr="00082425">
        <w:t>, 2018, 60: 202-10.</w:t>
      </w:r>
    </w:p>
    <w:p w14:paraId="0847F7FD" w14:textId="77777777" w:rsidR="009E53C2" w:rsidRPr="00082425" w:rsidRDefault="009E53C2" w:rsidP="009E53C2">
      <w:pPr>
        <w:pStyle w:val="Bibliography"/>
      </w:pPr>
      <w:r w:rsidRPr="00082425">
        <w:t>[22]</w:t>
      </w:r>
      <w:r w:rsidRPr="00082425">
        <w:tab/>
        <w:t xml:space="preserve">Sun Y., Qin H., Zhang H., et al. Fisetin inhibits inflammation and induces autophagy by mediating PI3K/AKT/mTOR signaling in LPS-induced RAW264.7 cells[J]. </w:t>
      </w:r>
      <w:r w:rsidRPr="00082425">
        <w:rPr>
          <w:i/>
          <w:iCs/>
        </w:rPr>
        <w:t>Food &amp; Nutrition Research</w:t>
      </w:r>
      <w:r w:rsidRPr="00082425">
        <w:t>, 2021, 65.</w:t>
      </w:r>
    </w:p>
    <w:p w14:paraId="4C0161FA" w14:textId="77777777" w:rsidR="009E53C2" w:rsidRPr="00082425" w:rsidRDefault="009E53C2" w:rsidP="009E53C2">
      <w:pPr>
        <w:pStyle w:val="Bibliography"/>
      </w:pPr>
      <w:r w:rsidRPr="00082425">
        <w:t>[23]</w:t>
      </w:r>
      <w:r w:rsidRPr="00082425">
        <w:tab/>
        <w:t xml:space="preserve">Smith M.L., Murphy K., Doucette C.D., et al. The Dietary Flavonoid Fisetin Causes Cell Cycle Arrest, Caspase-Dependent Apoptosis, and Enhanced Cytotoxicity of Chemotherapeutic Drugs in Triple-Negative Breast Cancer Cells[J]. </w:t>
      </w:r>
      <w:r w:rsidRPr="00082425">
        <w:rPr>
          <w:i/>
          <w:iCs/>
        </w:rPr>
        <w:t>Journal of Cellular Biochemistry</w:t>
      </w:r>
      <w:r w:rsidRPr="00082425">
        <w:t>, 2016, 117(8): 1913-25.</w:t>
      </w:r>
    </w:p>
    <w:p w14:paraId="6C188F15" w14:textId="77777777" w:rsidR="009E53C2" w:rsidRPr="00082425" w:rsidRDefault="009E53C2" w:rsidP="009E53C2">
      <w:pPr>
        <w:pStyle w:val="Bibliography"/>
      </w:pPr>
      <w:r w:rsidRPr="00082425">
        <w:t>[24]</w:t>
      </w:r>
      <w:r w:rsidRPr="00082425">
        <w:tab/>
        <w:t xml:space="preserve">Suh Y., Afaq F., Khan N., et al. Fisetin induces autophagic cell death through suppression of mTOR signaling pathway in prostate cancer cells[J]. </w:t>
      </w:r>
      <w:r w:rsidRPr="00082425">
        <w:rPr>
          <w:i/>
          <w:iCs/>
        </w:rPr>
        <w:t>Carcinogenesis</w:t>
      </w:r>
      <w:r w:rsidRPr="00082425">
        <w:t>, 2010, 31(8): 1424-33.</w:t>
      </w:r>
    </w:p>
    <w:p w14:paraId="0535FB9D" w14:textId="77777777" w:rsidR="009E53C2" w:rsidRPr="00082425" w:rsidRDefault="009E53C2" w:rsidP="009E53C2">
      <w:pPr>
        <w:pStyle w:val="Bibliography"/>
      </w:pPr>
      <w:r w:rsidRPr="00082425">
        <w:t>[25]</w:t>
      </w:r>
      <w:r w:rsidRPr="00082425">
        <w:tab/>
        <w:t xml:space="preserve">Chakraborty B., Chakraborty S., Saha C. Antibacterial Activity of Murrayaquinone A and 6-Methoxy-3,7-dimethyl-2,3-dihydro-1H-carbazole-1,4(9H)-dione[J]. </w:t>
      </w:r>
      <w:r w:rsidRPr="00082425">
        <w:rPr>
          <w:i/>
          <w:iCs/>
        </w:rPr>
        <w:t>International Journal of Microbiology</w:t>
      </w:r>
      <w:r w:rsidRPr="00082425">
        <w:t>, 2014, 2014: 540208.</w:t>
      </w:r>
    </w:p>
    <w:p w14:paraId="03026791" w14:textId="77777777" w:rsidR="009E53C2" w:rsidRPr="00082425" w:rsidRDefault="009E53C2" w:rsidP="009E53C2">
      <w:pPr>
        <w:pStyle w:val="Bibliography"/>
      </w:pPr>
      <w:r w:rsidRPr="00082425">
        <w:t>[26]</w:t>
      </w:r>
      <w:r w:rsidRPr="00082425">
        <w:tab/>
        <w:t xml:space="preserve">Zuo Y., He X., Ning Y., et al. Rh(III)-Catalyzed C-H Activation/Intramolecular Cyclization: Access to N-Acyl-2,3-dihydro-1H-carbazol-4(9H)-ones from Cyclic 2-Diazo-1,3-diketones and N-Arylamides[J]. </w:t>
      </w:r>
      <w:r w:rsidRPr="00082425">
        <w:rPr>
          <w:i/>
          <w:iCs/>
        </w:rPr>
        <w:t>ACS omega</w:t>
      </w:r>
      <w:r w:rsidRPr="00082425">
        <w:t>, 2017, 2(11): 8507-16.</w:t>
      </w:r>
    </w:p>
    <w:p w14:paraId="0E4BDBA1" w14:textId="77777777" w:rsidR="009E53C2" w:rsidRPr="00082425" w:rsidRDefault="009E53C2" w:rsidP="009E53C2">
      <w:pPr>
        <w:pStyle w:val="Bibliography"/>
      </w:pPr>
      <w:r w:rsidRPr="00082425">
        <w:t>[27]</w:t>
      </w:r>
      <w:r w:rsidRPr="00082425">
        <w:tab/>
        <w:t xml:space="preserve">Hua F., Li C.H., Chen X.G., et al. Daidzein exerts anticancer activity towards SKOV3 human ovarian cancer cells by inducing apoptosis and cell cycle arrest, and inhibiting the Raf/MEK/ERK cascade[J]. </w:t>
      </w:r>
      <w:r w:rsidRPr="00082425">
        <w:rPr>
          <w:i/>
          <w:iCs/>
        </w:rPr>
        <w:t>International Journal of Molecular Medicine</w:t>
      </w:r>
      <w:r w:rsidRPr="00082425">
        <w:t>, 2018, 41(6): 3485-92.</w:t>
      </w:r>
    </w:p>
    <w:p w14:paraId="0F355A94" w14:textId="77777777" w:rsidR="009E53C2" w:rsidRPr="00082425" w:rsidRDefault="009E53C2" w:rsidP="009E53C2">
      <w:pPr>
        <w:pStyle w:val="Bibliography"/>
      </w:pPr>
      <w:r w:rsidRPr="00082425">
        <w:t>[28]</w:t>
      </w:r>
      <w:r w:rsidRPr="00082425">
        <w:tab/>
        <w:t xml:space="preserve">Subedi L., Ji E., Shin D., et al. Equol, a Dietary Daidzein Gut Metabolite Attenuates Microglial Activation and Potentiates Neuroprotection In Vitro[J]. </w:t>
      </w:r>
      <w:r w:rsidRPr="00082425">
        <w:rPr>
          <w:i/>
          <w:iCs/>
        </w:rPr>
        <w:t>Nutrients</w:t>
      </w:r>
      <w:r w:rsidRPr="00082425">
        <w:t>, 2017, 9(3): 207.</w:t>
      </w:r>
    </w:p>
    <w:p w14:paraId="0CE094E5" w14:textId="77777777" w:rsidR="009E53C2" w:rsidRPr="00082425" w:rsidRDefault="009E53C2" w:rsidP="009E53C2">
      <w:pPr>
        <w:pStyle w:val="Bibliography"/>
      </w:pPr>
      <w:r w:rsidRPr="00082425">
        <w:t>[29]</w:t>
      </w:r>
      <w:r w:rsidRPr="00082425">
        <w:tab/>
        <w:t xml:space="preserve">Wang H., Nie Y., Luo Y., et al. Daidzein alleviates chronic restraint stress-induced depression-like behavior by regulating neuroinflammation and synaptic plasticity via microbiota-gut-brain axis[J]. </w:t>
      </w:r>
      <w:r w:rsidRPr="00082425">
        <w:rPr>
          <w:i/>
          <w:iCs/>
        </w:rPr>
        <w:t>Phytomedicine: International Journal of Phytotherapy and Phytopharmacology</w:t>
      </w:r>
      <w:r w:rsidRPr="00082425">
        <w:t>, 2025, 148: 157394.</w:t>
      </w:r>
    </w:p>
    <w:p w14:paraId="1EBCC05A" w14:textId="77777777" w:rsidR="009E53C2" w:rsidRPr="00082425" w:rsidRDefault="009E53C2" w:rsidP="009E53C2">
      <w:pPr>
        <w:pStyle w:val="Bibliography"/>
      </w:pPr>
      <w:r w:rsidRPr="00082425">
        <w:t>[30]</w:t>
      </w:r>
      <w:r w:rsidRPr="00082425">
        <w:tab/>
        <w:t xml:space="preserve">Cheong S.H., Furuhashi K., Ito K., et al. Daidzein promotes glucose uptake through glucose transporter 4 translocation to plasma membrane in L6 myocytes and improves glucose homeostasis in Type 2 diabetic model mice[J]. </w:t>
      </w:r>
      <w:r w:rsidRPr="00082425">
        <w:rPr>
          <w:i/>
          <w:iCs/>
        </w:rPr>
        <w:t>The Journal of Nutritional Biochemistry</w:t>
      </w:r>
      <w:r w:rsidRPr="00082425">
        <w:t>, 2014, 25(2): 136-43.</w:t>
      </w:r>
    </w:p>
    <w:p w14:paraId="4A2C0826" w14:textId="77777777" w:rsidR="009E53C2" w:rsidRPr="00082425" w:rsidRDefault="009E53C2" w:rsidP="009E53C2">
      <w:pPr>
        <w:pStyle w:val="Bibliography"/>
      </w:pPr>
      <w:r w:rsidRPr="00082425">
        <w:t>[31]</w:t>
      </w:r>
      <w:r w:rsidRPr="00082425">
        <w:tab/>
        <w:t xml:space="preserve">Tsen S.Y., Tan X.Y., Tan Y.M., et al. Relative Inhibitions of 5-Lipoxygenase and </w:t>
      </w:r>
      <w:r w:rsidRPr="00082425">
        <w:lastRenderedPageBreak/>
        <w:t xml:space="preserve">Myeloperoxidase and Free-Radical Scavenging Activities of Daidzein, Dihydrodaidzein, and Equol[J]. </w:t>
      </w:r>
      <w:r w:rsidRPr="00082425">
        <w:rPr>
          <w:i/>
          <w:iCs/>
        </w:rPr>
        <w:t>Journal of Medicinal Food</w:t>
      </w:r>
      <w:r w:rsidRPr="00082425">
        <w:t>, 2016, 19(6): 543-8.</w:t>
      </w:r>
    </w:p>
    <w:p w14:paraId="16417046" w14:textId="77777777" w:rsidR="009E53C2" w:rsidRPr="00082425" w:rsidRDefault="009E53C2" w:rsidP="009E53C2">
      <w:pPr>
        <w:pStyle w:val="Bibliography"/>
      </w:pPr>
      <w:r w:rsidRPr="00082425">
        <w:t>[32]</w:t>
      </w:r>
      <w:r w:rsidRPr="00082425">
        <w:tab/>
        <w:t xml:space="preserve">Yum M.K., Jung M.Y., Cho D., et al. Suppression of dendritic cells’ maturation and functions by daidzein, a phytoestrogen[J]. </w:t>
      </w:r>
      <w:r w:rsidRPr="00082425">
        <w:rPr>
          <w:i/>
          <w:iCs/>
        </w:rPr>
        <w:t>Toxicology and Applied Pharmacology</w:t>
      </w:r>
      <w:r w:rsidRPr="00082425">
        <w:t>, 2011, 257(2): 174-81.</w:t>
      </w:r>
    </w:p>
    <w:p w14:paraId="677CF86E" w14:textId="77777777" w:rsidR="009E53C2" w:rsidRPr="00082425" w:rsidRDefault="009E53C2" w:rsidP="009E53C2">
      <w:pPr>
        <w:pStyle w:val="Bibliography"/>
      </w:pPr>
      <w:r w:rsidRPr="00082425">
        <w:t>[33]</w:t>
      </w:r>
      <w:r w:rsidRPr="00082425">
        <w:tab/>
        <w:t xml:space="preserve">El Safadi M., Shah T.A., Zahara S.S., et al. Regulation of TGF-β1, PI3K/PIP3/Akt, Nrf-2/Keap-1 and NF-κB signaling pathways to avert bifenthrin induced hepatic injury: A palliative role of daidzein[J]. </w:t>
      </w:r>
      <w:r w:rsidRPr="00082425">
        <w:rPr>
          <w:i/>
          <w:iCs/>
        </w:rPr>
        <w:t>Tissue &amp; Cell</w:t>
      </w:r>
      <w:r w:rsidRPr="00082425">
        <w:t>, 2025, 93: 102733.</w:t>
      </w:r>
    </w:p>
    <w:p w14:paraId="40538D58" w14:textId="77777777" w:rsidR="009E53C2" w:rsidRPr="00082425" w:rsidRDefault="009E53C2" w:rsidP="009E53C2">
      <w:pPr>
        <w:pStyle w:val="Bibliography"/>
      </w:pPr>
      <w:r w:rsidRPr="00082425">
        <w:t>[34]</w:t>
      </w:r>
      <w:r w:rsidRPr="00082425">
        <w:tab/>
        <w:t xml:space="preserve">Praisthy Lj C., Kushwah R., Dubey S., et al. Pharmacotherapeutic potential of daidzein: insights into mechanisms and clinical relevance[J]. </w:t>
      </w:r>
      <w:r w:rsidRPr="00082425">
        <w:rPr>
          <w:i/>
          <w:iCs/>
        </w:rPr>
        <w:t>Inflammopharmacology</w:t>
      </w:r>
      <w:r w:rsidRPr="00082425">
        <w:t>, 2025, 33(9): 5145-71.</w:t>
      </w:r>
    </w:p>
    <w:p w14:paraId="60624CB2" w14:textId="77777777" w:rsidR="009E53C2" w:rsidRPr="00082425" w:rsidRDefault="009E53C2" w:rsidP="009E53C2">
      <w:pPr>
        <w:pStyle w:val="Bibliography"/>
      </w:pPr>
      <w:r w:rsidRPr="00082425">
        <w:t>[35]</w:t>
      </w:r>
      <w:r w:rsidRPr="00082425">
        <w:tab/>
        <w:t xml:space="preserve">Wang Z., Li S., Li Q., et al. A Novel Cocrystal of Daidzein with Piperazine to Optimize the Solubility, Permeability and Bioavailability of Daidzein[J]. </w:t>
      </w:r>
      <w:r w:rsidRPr="00082425">
        <w:rPr>
          <w:i/>
          <w:iCs/>
        </w:rPr>
        <w:t>Molecules</w:t>
      </w:r>
      <w:r w:rsidRPr="00082425">
        <w:t>, 2024, 29(8): 1710.</w:t>
      </w:r>
    </w:p>
    <w:p w14:paraId="36253FCD" w14:textId="77777777" w:rsidR="009E53C2" w:rsidRPr="00082425" w:rsidRDefault="009E53C2" w:rsidP="009E53C2">
      <w:pPr>
        <w:pStyle w:val="Bibliography"/>
      </w:pPr>
      <w:r w:rsidRPr="00082425">
        <w:t>[36]</w:t>
      </w:r>
      <w:r w:rsidRPr="00082425">
        <w:tab/>
        <w:t xml:space="preserve">Hsiao Y.C., Peng S.F., Lai K.C., et al. Genistein induces apoptosis in vitro and has antitumor activity against human leukemia HL-60 cancer cell xenograft growth in vivo[J]. </w:t>
      </w:r>
      <w:r w:rsidRPr="00082425">
        <w:rPr>
          <w:i/>
          <w:iCs/>
        </w:rPr>
        <w:t>Environmental Toxicology</w:t>
      </w:r>
      <w:r w:rsidRPr="00082425">
        <w:t>, 2019, 34(4): 443-56.</w:t>
      </w:r>
    </w:p>
    <w:p w14:paraId="4E0D6DF8" w14:textId="77777777" w:rsidR="009E53C2" w:rsidRPr="00082425" w:rsidRDefault="009E53C2" w:rsidP="009E53C2">
      <w:pPr>
        <w:pStyle w:val="Bibliography"/>
      </w:pPr>
      <w:r w:rsidRPr="00082425">
        <w:t>[37]</w:t>
      </w:r>
      <w:r w:rsidRPr="00082425">
        <w:tab/>
        <w:t xml:space="preserve">Chen J., Duan Y., Zhang X., et al. Genistein induces apoptosis by the inactivation of the IGF-1R/p-Akt signaling pathway in MCF-7 human breast cancer cells[J]. </w:t>
      </w:r>
      <w:r w:rsidRPr="00082425">
        <w:rPr>
          <w:i/>
          <w:iCs/>
        </w:rPr>
        <w:t>Food &amp; Function</w:t>
      </w:r>
      <w:r w:rsidRPr="00082425">
        <w:t>, 2015, 6(3): 995-1000.</w:t>
      </w:r>
    </w:p>
    <w:p w14:paraId="74409C68" w14:textId="77777777" w:rsidR="009E53C2" w:rsidRPr="00082425" w:rsidRDefault="009E53C2" w:rsidP="009E53C2">
      <w:pPr>
        <w:pStyle w:val="Bibliography"/>
      </w:pPr>
      <w:r w:rsidRPr="00082425">
        <w:t>[38]</w:t>
      </w:r>
      <w:r w:rsidRPr="00082425">
        <w:tab/>
        <w:t xml:space="preserve">Luo M., Yang Z.Q., Huang J.C., et al. Genistein protects ovarian granulosa cells from oxidative stress via cAMP-PKA signaling[J]. </w:t>
      </w:r>
      <w:r w:rsidRPr="00082425">
        <w:rPr>
          <w:i/>
          <w:iCs/>
        </w:rPr>
        <w:t>Cell Biology International</w:t>
      </w:r>
      <w:r w:rsidRPr="00082425">
        <w:t>, 2020, 44(2): 433-45.</w:t>
      </w:r>
    </w:p>
    <w:p w14:paraId="6DBD2F66" w14:textId="77777777" w:rsidR="009E53C2" w:rsidRPr="00082425" w:rsidRDefault="009E53C2" w:rsidP="009E53C2">
      <w:pPr>
        <w:pStyle w:val="Bibliography"/>
      </w:pPr>
      <w:r w:rsidRPr="00082425">
        <w:t>[39]</w:t>
      </w:r>
      <w:r w:rsidRPr="00082425">
        <w:tab/>
        <w:t xml:space="preserve">Wang K., Hu S., Wang B., et al. Genistein protects intervertebral discs from degeneration via Nrf2-mediated antioxidant defense system: An in vitro and in vivo study[J]. </w:t>
      </w:r>
      <w:r w:rsidRPr="00082425">
        <w:rPr>
          <w:i/>
          <w:iCs/>
        </w:rPr>
        <w:t>Journal of Cellular Physiology</w:t>
      </w:r>
      <w:r w:rsidRPr="00082425">
        <w:t>, 2019, 234(9): 16348-56.</w:t>
      </w:r>
    </w:p>
    <w:p w14:paraId="0DD0525F" w14:textId="77777777" w:rsidR="009E53C2" w:rsidRPr="00082425" w:rsidRDefault="009E53C2" w:rsidP="009E53C2">
      <w:pPr>
        <w:pStyle w:val="Bibliography"/>
      </w:pPr>
      <w:r w:rsidRPr="00082425">
        <w:t>[40]</w:t>
      </w:r>
      <w:r w:rsidRPr="00082425">
        <w:tab/>
        <w:t xml:space="preserve">Ganai A.A., Khan A.A., Malik Z.A., et al. Genistein modulates the expression of NF-κB and MAPK (p-38 and ERK1/2), thereby attenuating d-Galactosamine induced fulminant hepatic failure in Wistar rats[J]. </w:t>
      </w:r>
      <w:r w:rsidRPr="00082425">
        <w:rPr>
          <w:i/>
          <w:iCs/>
        </w:rPr>
        <w:t>Toxicology and Applied Pharmacology</w:t>
      </w:r>
      <w:r w:rsidRPr="00082425">
        <w:t>, 2015, 283(2): 139-46.</w:t>
      </w:r>
    </w:p>
    <w:p w14:paraId="0BF4B2CC" w14:textId="77777777" w:rsidR="009E53C2" w:rsidRPr="00082425" w:rsidRDefault="009E53C2" w:rsidP="009E53C2">
      <w:pPr>
        <w:pStyle w:val="Bibliography"/>
      </w:pPr>
      <w:r w:rsidRPr="00082425">
        <w:t>[41]</w:t>
      </w:r>
      <w:r w:rsidRPr="00082425">
        <w:tab/>
        <w:t xml:space="preserve">Alzahrani K.J., El Safadi M., Alsharif K.F., et al. Palliative potential of genistein to counteract endosulfan instigated colon toxicity via regulating TLR4/MyD88, JAK1/STAT3 and NF-κB pathway: A biochemical and histological approach[J]. </w:t>
      </w:r>
      <w:r w:rsidRPr="00082425">
        <w:rPr>
          <w:i/>
          <w:iCs/>
        </w:rPr>
        <w:t>Tissue &amp; Cell</w:t>
      </w:r>
      <w:r w:rsidRPr="00082425">
        <w:t>, 2025, 93: 102730.</w:t>
      </w:r>
    </w:p>
    <w:p w14:paraId="457BFCFF" w14:textId="77777777" w:rsidR="009E53C2" w:rsidRPr="00082425" w:rsidRDefault="009E53C2" w:rsidP="009E53C2">
      <w:pPr>
        <w:pStyle w:val="Bibliography"/>
      </w:pPr>
      <w:r w:rsidRPr="00082425">
        <w:t>[42]</w:t>
      </w:r>
      <w:r w:rsidRPr="00082425">
        <w:tab/>
        <w:t xml:space="preserve">Jiang Z., Wang H., Yang Y., et al. Genistein activated SIRT1-AMPK signaling pathway </w:t>
      </w:r>
      <w:r w:rsidRPr="00082425">
        <w:lastRenderedPageBreak/>
        <w:t xml:space="preserve">mediated by ERβ-FOXO1-Nampt to reduce fat accumulation in chicken hepatocytes[J]. </w:t>
      </w:r>
      <w:r w:rsidRPr="00082425">
        <w:rPr>
          <w:i/>
          <w:iCs/>
        </w:rPr>
        <w:t>Life Sciences</w:t>
      </w:r>
      <w:r w:rsidRPr="00082425">
        <w:t>, 2023, 312: 121259.</w:t>
      </w:r>
    </w:p>
    <w:p w14:paraId="40A5A804" w14:textId="77777777" w:rsidR="009E53C2" w:rsidRPr="00082425" w:rsidRDefault="009E53C2" w:rsidP="009E53C2">
      <w:pPr>
        <w:pStyle w:val="Bibliography"/>
      </w:pPr>
      <w:r w:rsidRPr="00082425">
        <w:t>[43]</w:t>
      </w:r>
      <w:r w:rsidRPr="00082425">
        <w:tab/>
        <w:t xml:space="preserve">Xin X., Chen C., Hu Y.Y., et al. Protective effect of genistein on nonalcoholic fatty liver disease (NAFLD)[J]. </w:t>
      </w:r>
      <w:r w:rsidRPr="00082425">
        <w:rPr>
          <w:i/>
          <w:iCs/>
        </w:rPr>
        <w:t>Biomedicine &amp; Pharmacotherapy = Biomedecine &amp; Pharmacotherapie</w:t>
      </w:r>
      <w:r w:rsidRPr="00082425">
        <w:t>, 2019, 117: 109047.</w:t>
      </w:r>
    </w:p>
    <w:p w14:paraId="2E2B7214" w14:textId="77777777" w:rsidR="009E53C2" w:rsidRPr="00082425" w:rsidRDefault="009E53C2" w:rsidP="009E53C2">
      <w:pPr>
        <w:pStyle w:val="Bibliography"/>
      </w:pPr>
      <w:r w:rsidRPr="00082425">
        <w:t>[44]</w:t>
      </w:r>
      <w:r w:rsidRPr="00082425">
        <w:tab/>
        <w:t xml:space="preserve">Lee H., Li H., Noh M., et al. Bavachin from Psoralea corylifolia Improves Insulin-Dependent Glucose Uptake through Insulin Signaling and AMPK Activation in 3T3-L1 Adipocytes[J]. </w:t>
      </w:r>
      <w:r w:rsidRPr="00082425">
        <w:rPr>
          <w:i/>
          <w:iCs/>
        </w:rPr>
        <w:t>International Journal of Molecular Sciences</w:t>
      </w:r>
      <w:r w:rsidRPr="00082425">
        <w:t>, 2016, 17(4): 527.</w:t>
      </w:r>
    </w:p>
    <w:p w14:paraId="53C42DD3" w14:textId="77777777" w:rsidR="009E53C2" w:rsidRPr="00082425" w:rsidRDefault="009E53C2" w:rsidP="009E53C2">
      <w:pPr>
        <w:pStyle w:val="Bibliography"/>
      </w:pPr>
      <w:r w:rsidRPr="00082425">
        <w:t>[45]</w:t>
      </w:r>
      <w:r w:rsidRPr="00082425">
        <w:tab/>
        <w:t xml:space="preserve">Wei X., Lin L., Yuan Q.Q., et al. Bavachin protects against diet-induced hepatic steatosis and obesity in mice[J]. </w:t>
      </w:r>
      <w:r w:rsidRPr="00082425">
        <w:rPr>
          <w:i/>
          <w:iCs/>
        </w:rPr>
        <w:t>Acta Pharmacologica Sinica</w:t>
      </w:r>
      <w:r w:rsidRPr="00082425">
        <w:t>, 2023, 44(7): 1416-28.</w:t>
      </w:r>
    </w:p>
    <w:p w14:paraId="281ED936" w14:textId="77777777" w:rsidR="009E53C2" w:rsidRPr="00082425" w:rsidRDefault="009E53C2" w:rsidP="009E53C2">
      <w:pPr>
        <w:pStyle w:val="Bibliography"/>
      </w:pPr>
      <w:r w:rsidRPr="00082425">
        <w:t>[46]</w:t>
      </w:r>
      <w:r w:rsidRPr="00082425">
        <w:tab/>
        <w:t xml:space="preserve">Hung Y.L., Wang S.C., Suzuki K., et al. Bavachin attenuates LPS-induced inflammatory response and inhibits the activation of NLRP3 inflammasome in macrophages[J]. </w:t>
      </w:r>
      <w:r w:rsidRPr="00082425">
        <w:rPr>
          <w:i/>
          <w:iCs/>
        </w:rPr>
        <w:t>Phytomedicine: International Journal of Phytotherapy and Phytopharmacology</w:t>
      </w:r>
      <w:r w:rsidRPr="00082425">
        <w:t>, 2019, 59: 152785.</w:t>
      </w:r>
    </w:p>
    <w:p w14:paraId="427FB320" w14:textId="77777777" w:rsidR="009E53C2" w:rsidRPr="00082425" w:rsidRDefault="009E53C2" w:rsidP="009E53C2">
      <w:pPr>
        <w:pStyle w:val="Bibliography"/>
      </w:pPr>
      <w:r w:rsidRPr="00082425">
        <w:t>[47]</w:t>
      </w:r>
      <w:r w:rsidRPr="00082425">
        <w:tab/>
        <w:t xml:space="preserve">Jin Y.H., Kim D.E., Jang M.S., et al. Bavachin produces immunoadjuvant activity by targeting the NFAT signaling pathway[J]. </w:t>
      </w:r>
      <w:r w:rsidRPr="00082425">
        <w:rPr>
          <w:i/>
          <w:iCs/>
        </w:rPr>
        <w:t>Phytomedicine: International Journal of Phytotherapy and Phytopharmacology</w:t>
      </w:r>
      <w:r w:rsidRPr="00082425">
        <w:t>, 2021, 93: 153796.</w:t>
      </w:r>
    </w:p>
    <w:p w14:paraId="3807A98B" w14:textId="77777777" w:rsidR="009E53C2" w:rsidRPr="00082425" w:rsidRDefault="009E53C2" w:rsidP="009E53C2">
      <w:pPr>
        <w:pStyle w:val="Bibliography"/>
      </w:pPr>
      <w:r w:rsidRPr="00082425">
        <w:t>[48]</w:t>
      </w:r>
      <w:r w:rsidRPr="00082425">
        <w:tab/>
        <w:t xml:space="preserve">Wang Y., Yang Z., Wang Q., et al. Bavachin exerted anti-neuroinflammatory effects by regulation of A20 ubiquitin-editing complex[J]. </w:t>
      </w:r>
      <w:r w:rsidRPr="00082425">
        <w:rPr>
          <w:i/>
          <w:iCs/>
        </w:rPr>
        <w:t>International Immunopharmacology</w:t>
      </w:r>
      <w:r w:rsidRPr="00082425">
        <w:t>, 2021, 100: 108085.</w:t>
      </w:r>
    </w:p>
    <w:p w14:paraId="190007F3" w14:textId="77777777" w:rsidR="009E53C2" w:rsidRPr="00082425" w:rsidRDefault="009E53C2" w:rsidP="009E53C2">
      <w:pPr>
        <w:pStyle w:val="Bibliography"/>
      </w:pPr>
      <w:r w:rsidRPr="00082425">
        <w:t>[49]</w:t>
      </w:r>
      <w:r w:rsidRPr="00082425">
        <w:tab/>
        <w:t xml:space="preserve">Wang M., Tian B., Shen J., et al. Bavachin induces apoptosis in colorectal cancer cells through Gadd45a via the MAPK signaling pathway[J]. </w:t>
      </w:r>
      <w:r w:rsidRPr="00082425">
        <w:rPr>
          <w:i/>
          <w:iCs/>
        </w:rPr>
        <w:t>Chinese Journal of Natural Medicines</w:t>
      </w:r>
      <w:r w:rsidRPr="00082425">
        <w:t>, 2023, 21(1): 36-46.</w:t>
      </w:r>
    </w:p>
    <w:p w14:paraId="313DAF93" w14:textId="77777777" w:rsidR="009E53C2" w:rsidRPr="00082425" w:rsidRDefault="009E53C2" w:rsidP="009E53C2">
      <w:pPr>
        <w:pStyle w:val="Bibliography"/>
      </w:pPr>
      <w:r w:rsidRPr="00082425">
        <w:t>[50]</w:t>
      </w:r>
      <w:r w:rsidRPr="00082425">
        <w:tab/>
        <w:t xml:space="preserve">Qin N., Xu G., Wang Y., et al. Bavachin enhances NLRP3 inflammasome activation induced by ATP or nigericin and causes idiosyncratic hepatotoxicity[J]. </w:t>
      </w:r>
      <w:r w:rsidRPr="00082425">
        <w:rPr>
          <w:i/>
          <w:iCs/>
        </w:rPr>
        <w:t>Frontiers of Medicine</w:t>
      </w:r>
      <w:r w:rsidRPr="00082425">
        <w:t>, 2021, 15(4): 594-607.</w:t>
      </w:r>
    </w:p>
    <w:p w14:paraId="26855A05" w14:textId="77777777" w:rsidR="009E53C2" w:rsidRPr="00082425" w:rsidRDefault="009E53C2" w:rsidP="009E53C2">
      <w:pPr>
        <w:pStyle w:val="Bibliography"/>
      </w:pPr>
      <w:r w:rsidRPr="00082425">
        <w:t>[51]</w:t>
      </w:r>
      <w:r w:rsidRPr="00082425">
        <w:tab/>
        <w:t xml:space="preserve">No H., Kim J., Kim J.K. Corylin Exhibits Anticancer Activity by Inducing Apoptosis and G0/G1 Cell Cycle Arrest in SKOV3 Human Ovarian Cancer Cells[J]. </w:t>
      </w:r>
      <w:r w:rsidRPr="00082425">
        <w:rPr>
          <w:i/>
          <w:iCs/>
        </w:rPr>
        <w:t>Biomolecules &amp; Therapeutics</w:t>
      </w:r>
      <w:r w:rsidRPr="00082425">
        <w:t>, 2025, 33(6): 975-85.</w:t>
      </w:r>
    </w:p>
    <w:p w14:paraId="64DB2D75" w14:textId="77777777" w:rsidR="009E53C2" w:rsidRPr="00082425" w:rsidRDefault="009E53C2" w:rsidP="009E53C2">
      <w:pPr>
        <w:pStyle w:val="Bibliography"/>
      </w:pPr>
      <w:r w:rsidRPr="00082425">
        <w:t>[52]</w:t>
      </w:r>
      <w:r w:rsidRPr="00082425">
        <w:tab/>
        <w:t xml:space="preserve">Shi F.Y., Li C., Zhang X.Y., et al. Corylin promotes longevity in Caenorhabditis elegans through DAF-16 and SKN-1 coordinated activation of autophagy-mitochondrial homeostasis axis[J]. </w:t>
      </w:r>
      <w:r w:rsidRPr="00082425">
        <w:rPr>
          <w:i/>
          <w:iCs/>
        </w:rPr>
        <w:t>Journal of Ethnopharmacology</w:t>
      </w:r>
      <w:r w:rsidRPr="00082425">
        <w:t>, 2026, 363: 121416.</w:t>
      </w:r>
    </w:p>
    <w:p w14:paraId="476BD1D2" w14:textId="77777777" w:rsidR="009E53C2" w:rsidRPr="00082425" w:rsidRDefault="009E53C2" w:rsidP="009E53C2">
      <w:pPr>
        <w:pStyle w:val="Bibliography"/>
      </w:pPr>
      <w:r w:rsidRPr="00082425">
        <w:lastRenderedPageBreak/>
        <w:t>[53]</w:t>
      </w:r>
      <w:r w:rsidRPr="00082425">
        <w:tab/>
        <w:t xml:space="preserve">Wang Z.J., Chen L.H., Xu J., et al. Corylin ameliorates chronic ulcerative colitis via regulating the gut-brain axis and promoting 5-hydroxytryptophan production in the colon[J]. </w:t>
      </w:r>
      <w:r w:rsidRPr="00082425">
        <w:rPr>
          <w:i/>
          <w:iCs/>
        </w:rPr>
        <w:t>Phytomedicine: International Journal of Phytotherapy and Phytopharmacology</w:t>
      </w:r>
      <w:r w:rsidRPr="00082425">
        <w:t>, 2023, 110: 154651.</w:t>
      </w:r>
    </w:p>
    <w:p w14:paraId="0E5D49D9" w14:textId="77777777" w:rsidR="009E53C2" w:rsidRPr="00082425" w:rsidRDefault="009E53C2" w:rsidP="009E53C2">
      <w:pPr>
        <w:pStyle w:val="Bibliography"/>
      </w:pPr>
      <w:r w:rsidRPr="00082425">
        <w:t>[54]</w:t>
      </w:r>
      <w:r w:rsidRPr="00082425">
        <w:tab/>
        <w:t xml:space="preserve">Li C., Hou D., Huang Y., et al. Corylin alleviated sepsis-associated cardiac dysfunction via attenuating inflammation through downregulation of microRNA-214-5p[J]. </w:t>
      </w:r>
      <w:r w:rsidRPr="00082425">
        <w:rPr>
          <w:i/>
          <w:iCs/>
        </w:rPr>
        <w:t>Toxicology Research</w:t>
      </w:r>
      <w:r w:rsidRPr="00082425">
        <w:t>, 2024, 13(3): tfae081.</w:t>
      </w:r>
    </w:p>
    <w:p w14:paraId="2BE6B42B" w14:textId="77777777" w:rsidR="009E53C2" w:rsidRPr="00082425" w:rsidRDefault="009E53C2" w:rsidP="009E53C2">
      <w:pPr>
        <w:pStyle w:val="Bibliography"/>
      </w:pPr>
      <w:r w:rsidRPr="00082425">
        <w:t>[55]</w:t>
      </w:r>
      <w:r w:rsidRPr="00082425">
        <w:tab/>
        <w:t xml:space="preserve">Lin Z., Liao L., Zhao S., et al. Corylin inhibits the progression of Non-small cell lung cancer cells by regulating NF-κB signaling pathway via targeting p65[J]. </w:t>
      </w:r>
      <w:r w:rsidRPr="00082425">
        <w:rPr>
          <w:i/>
          <w:iCs/>
        </w:rPr>
        <w:t>Phytomedicine: International Journal of Phytotherapy and Phytopharmacology</w:t>
      </w:r>
      <w:r w:rsidRPr="00082425">
        <w:t>, 2023, 110: 154627.</w:t>
      </w:r>
    </w:p>
    <w:p w14:paraId="1073EA96" w14:textId="63250C3D" w:rsidR="00303D0E" w:rsidRPr="00082425" w:rsidRDefault="00303D0E" w:rsidP="00303D0E">
      <w:pPr>
        <w:spacing w:afterLines="50" w:after="156" w:line="440" w:lineRule="exact"/>
        <w:jc w:val="both"/>
        <w:rPr>
          <w:rFonts w:ascii="Times New Roman" w:eastAsia="宋体" w:hAnsi="Times New Roman" w:cs="Times New Roman"/>
          <w:lang w:val="pt-BR"/>
        </w:rPr>
      </w:pPr>
      <w:r w:rsidRPr="00082425">
        <w:rPr>
          <w:rFonts w:ascii="Times New Roman" w:eastAsia="宋体" w:hAnsi="Times New Roman" w:cs="Times New Roman"/>
          <w:lang w:val="pt-BR"/>
        </w:rPr>
        <w:fldChar w:fldCharType="end"/>
      </w:r>
    </w:p>
    <w:sectPr w:rsidR="00303D0E" w:rsidRPr="00082425" w:rsidSect="00303D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AAF3" w14:textId="77777777" w:rsidR="00F16A7D" w:rsidRDefault="00F16A7D" w:rsidP="00D21108">
      <w:pPr>
        <w:spacing w:after="0" w:line="240" w:lineRule="auto"/>
      </w:pPr>
      <w:r>
        <w:separator/>
      </w:r>
    </w:p>
  </w:endnote>
  <w:endnote w:type="continuationSeparator" w:id="0">
    <w:p w14:paraId="0A1C84D7" w14:textId="77777777" w:rsidR="00F16A7D" w:rsidRDefault="00F16A7D" w:rsidP="00D2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84846"/>
      <w:docPartObj>
        <w:docPartGallery w:val="Page Numbers (Bottom of Page)"/>
        <w:docPartUnique/>
      </w:docPartObj>
    </w:sdtPr>
    <w:sdtEndPr>
      <w:rPr>
        <w:rFonts w:ascii="Times New Roman" w:hAnsi="Times New Roman" w:cs="Times New Roman"/>
        <w:noProof/>
        <w:sz w:val="22"/>
        <w:szCs w:val="22"/>
      </w:rPr>
    </w:sdtEndPr>
    <w:sdtContent>
      <w:p w14:paraId="7DE140B4" w14:textId="6E0BC9F3" w:rsidR="00844430" w:rsidRPr="00844430" w:rsidRDefault="00844430">
        <w:pPr>
          <w:pStyle w:val="Footer"/>
          <w:jc w:val="center"/>
          <w:rPr>
            <w:rFonts w:ascii="Times New Roman" w:hAnsi="Times New Roman" w:cs="Times New Roman"/>
            <w:sz w:val="22"/>
            <w:szCs w:val="22"/>
          </w:rPr>
        </w:pPr>
        <w:r w:rsidRPr="00844430">
          <w:rPr>
            <w:rFonts w:ascii="Times New Roman" w:hAnsi="Times New Roman" w:cs="Times New Roman"/>
            <w:sz w:val="22"/>
            <w:szCs w:val="22"/>
          </w:rPr>
          <w:fldChar w:fldCharType="begin"/>
        </w:r>
        <w:r w:rsidRPr="00844430">
          <w:rPr>
            <w:rFonts w:ascii="Times New Roman" w:hAnsi="Times New Roman" w:cs="Times New Roman"/>
            <w:sz w:val="22"/>
            <w:szCs w:val="22"/>
          </w:rPr>
          <w:instrText xml:space="preserve"> PAGE   \* MERGEFORMAT </w:instrText>
        </w:r>
        <w:r w:rsidRPr="00844430">
          <w:rPr>
            <w:rFonts w:ascii="Times New Roman" w:hAnsi="Times New Roman" w:cs="Times New Roman"/>
            <w:sz w:val="22"/>
            <w:szCs w:val="22"/>
          </w:rPr>
          <w:fldChar w:fldCharType="separate"/>
        </w:r>
        <w:r w:rsidRPr="00844430">
          <w:rPr>
            <w:rFonts w:ascii="Times New Roman" w:hAnsi="Times New Roman" w:cs="Times New Roman"/>
            <w:noProof/>
            <w:sz w:val="22"/>
            <w:szCs w:val="22"/>
          </w:rPr>
          <w:t>2</w:t>
        </w:r>
        <w:r w:rsidRPr="00844430">
          <w:rPr>
            <w:rFonts w:ascii="Times New Roman" w:hAnsi="Times New Roman" w:cs="Times New Roman"/>
            <w:noProof/>
            <w:sz w:val="22"/>
            <w:szCs w:val="22"/>
          </w:rPr>
          <w:fldChar w:fldCharType="end"/>
        </w:r>
      </w:p>
    </w:sdtContent>
  </w:sdt>
  <w:p w14:paraId="5058C5B2" w14:textId="77777777" w:rsidR="00844430" w:rsidRDefault="00844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A6526" w14:textId="77777777" w:rsidR="00F16A7D" w:rsidRDefault="00F16A7D" w:rsidP="00D21108">
      <w:pPr>
        <w:spacing w:after="0" w:line="240" w:lineRule="auto"/>
      </w:pPr>
      <w:r>
        <w:separator/>
      </w:r>
    </w:p>
  </w:footnote>
  <w:footnote w:type="continuationSeparator" w:id="0">
    <w:p w14:paraId="6ED5587A" w14:textId="77777777" w:rsidR="00F16A7D" w:rsidRDefault="00F16A7D" w:rsidP="00D21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2ABA"/>
    <w:multiLevelType w:val="hybridMultilevel"/>
    <w:tmpl w:val="5C103196"/>
    <w:lvl w:ilvl="0" w:tplc="3642F7CA">
      <w:start w:val="1"/>
      <w:numFmt w:val="decimal"/>
      <w:lvlText w:val="5.%1"/>
      <w:lvlJc w:val="left"/>
      <w:pPr>
        <w:ind w:left="440" w:hanging="440"/>
      </w:pPr>
      <w:rPr>
        <w:rFonts w:hint="eastAsia"/>
      </w:rPr>
    </w:lvl>
    <w:lvl w:ilvl="1" w:tplc="986E4436">
      <w:start w:val="5"/>
      <w:numFmt w:val="japaneseCounting"/>
      <w:lvlText w:val="%2、"/>
      <w:lvlJc w:val="left"/>
      <w:pPr>
        <w:ind w:left="940" w:hanging="500"/>
      </w:pPr>
      <w:rPr>
        <w:rFonts w:hint="default"/>
        <w:sz w:val="24"/>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3DE6725"/>
    <w:multiLevelType w:val="multilevel"/>
    <w:tmpl w:val="F85CABD0"/>
    <w:lvl w:ilvl="0">
      <w:start w:val="1"/>
      <w:numFmt w:val="decimal"/>
      <w:suff w:val="space"/>
      <w:lvlText w:val="%1."/>
      <w:lvlJc w:val="left"/>
      <w:pPr>
        <w:ind w:left="440" w:hanging="440"/>
      </w:pPr>
      <w:rPr>
        <w:rFonts w:hint="eastAsia"/>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58A76FA"/>
    <w:multiLevelType w:val="hybridMultilevel"/>
    <w:tmpl w:val="650E24F4"/>
    <w:lvl w:ilvl="0" w:tplc="14240A3A">
      <w:start w:val="1"/>
      <w:numFmt w:val="decimal"/>
      <w:lvlText w:val="4.%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1942DA4"/>
    <w:multiLevelType w:val="multilevel"/>
    <w:tmpl w:val="6910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2C2970"/>
    <w:multiLevelType w:val="hybridMultilevel"/>
    <w:tmpl w:val="2AE4F80E"/>
    <w:lvl w:ilvl="0" w:tplc="FAF67CC2">
      <w:start w:val="1"/>
      <w:numFmt w:val="decimal"/>
      <w:lvlText w:val="3.%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33B5769"/>
    <w:multiLevelType w:val="hybridMultilevel"/>
    <w:tmpl w:val="F434FE70"/>
    <w:lvl w:ilvl="0" w:tplc="D92E6158">
      <w:start w:val="1"/>
      <w:numFmt w:val="decimal"/>
      <w:lvlText w:val="%1."/>
      <w:lvlJc w:val="left"/>
      <w:pPr>
        <w:ind w:left="360" w:hanging="360"/>
      </w:pPr>
      <w:rPr>
        <w:rFonts w:hint="default"/>
        <w:b/>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4E05660"/>
    <w:multiLevelType w:val="hybridMultilevel"/>
    <w:tmpl w:val="B8A2D53A"/>
    <w:lvl w:ilvl="0" w:tplc="8C02C76C">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E801078"/>
    <w:multiLevelType w:val="hybridMultilevel"/>
    <w:tmpl w:val="E6443EB6"/>
    <w:lvl w:ilvl="0" w:tplc="AF7CCFC0">
      <w:start w:val="1"/>
      <w:numFmt w:val="decimal"/>
      <w:lvlText w:val="2.%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D024214"/>
    <w:multiLevelType w:val="hybridMultilevel"/>
    <w:tmpl w:val="D4963918"/>
    <w:lvl w:ilvl="0" w:tplc="55C0FC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0C21DA5"/>
    <w:multiLevelType w:val="hybridMultilevel"/>
    <w:tmpl w:val="BA5A9480"/>
    <w:lvl w:ilvl="0" w:tplc="7A5818B8">
      <w:start w:val="1"/>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7E636D08"/>
    <w:multiLevelType w:val="hybridMultilevel"/>
    <w:tmpl w:val="4D9A6D68"/>
    <w:lvl w:ilvl="0" w:tplc="14240A3A">
      <w:start w:val="1"/>
      <w:numFmt w:val="decimal"/>
      <w:lvlText w:val="4.%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17747303">
    <w:abstractNumId w:val="9"/>
  </w:num>
  <w:num w:numId="2" w16cid:durableId="1011689142">
    <w:abstractNumId w:val="3"/>
  </w:num>
  <w:num w:numId="3" w16cid:durableId="1897084236">
    <w:abstractNumId w:val="6"/>
  </w:num>
  <w:num w:numId="4" w16cid:durableId="1828203005">
    <w:abstractNumId w:val="1"/>
  </w:num>
  <w:num w:numId="5" w16cid:durableId="42486219">
    <w:abstractNumId w:val="8"/>
  </w:num>
  <w:num w:numId="6" w16cid:durableId="505440632">
    <w:abstractNumId w:val="7"/>
  </w:num>
  <w:num w:numId="7" w16cid:durableId="1413042963">
    <w:abstractNumId w:val="4"/>
  </w:num>
  <w:num w:numId="8" w16cid:durableId="1796873887">
    <w:abstractNumId w:val="10"/>
  </w:num>
  <w:num w:numId="9" w16cid:durableId="493452450">
    <w:abstractNumId w:val="2"/>
  </w:num>
  <w:num w:numId="10" w16cid:durableId="1392654703">
    <w:abstractNumId w:val="0"/>
  </w:num>
  <w:num w:numId="11" w16cid:durableId="891228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4"/>
    <w:rsid w:val="00002E66"/>
    <w:rsid w:val="00006BD0"/>
    <w:rsid w:val="00007D45"/>
    <w:rsid w:val="00022EE1"/>
    <w:rsid w:val="00030F64"/>
    <w:rsid w:val="000411F8"/>
    <w:rsid w:val="00046CF5"/>
    <w:rsid w:val="00057EE8"/>
    <w:rsid w:val="00070B8C"/>
    <w:rsid w:val="00082425"/>
    <w:rsid w:val="00087413"/>
    <w:rsid w:val="000927C1"/>
    <w:rsid w:val="00092DEE"/>
    <w:rsid w:val="000967D0"/>
    <w:rsid w:val="000A315B"/>
    <w:rsid w:val="000A5D84"/>
    <w:rsid w:val="000C5D3D"/>
    <w:rsid w:val="000D09F3"/>
    <w:rsid w:val="000D5223"/>
    <w:rsid w:val="000E0E72"/>
    <w:rsid w:val="000E77C8"/>
    <w:rsid w:val="000F05E5"/>
    <w:rsid w:val="000F2749"/>
    <w:rsid w:val="000F57FC"/>
    <w:rsid w:val="00117821"/>
    <w:rsid w:val="001200AD"/>
    <w:rsid w:val="00125D6F"/>
    <w:rsid w:val="001306E6"/>
    <w:rsid w:val="00130DD8"/>
    <w:rsid w:val="00134EB8"/>
    <w:rsid w:val="00141DA8"/>
    <w:rsid w:val="00144B23"/>
    <w:rsid w:val="00146034"/>
    <w:rsid w:val="001542AD"/>
    <w:rsid w:val="00160597"/>
    <w:rsid w:val="0016224C"/>
    <w:rsid w:val="00172A8C"/>
    <w:rsid w:val="001749F6"/>
    <w:rsid w:val="0017681C"/>
    <w:rsid w:val="001829EB"/>
    <w:rsid w:val="00182DAD"/>
    <w:rsid w:val="00190A06"/>
    <w:rsid w:val="001924A4"/>
    <w:rsid w:val="001B65BC"/>
    <w:rsid w:val="001C532D"/>
    <w:rsid w:val="001C7B09"/>
    <w:rsid w:val="001D1E6F"/>
    <w:rsid w:val="001D4F23"/>
    <w:rsid w:val="001E120F"/>
    <w:rsid w:val="001E2CAE"/>
    <w:rsid w:val="001E4E95"/>
    <w:rsid w:val="001E51E5"/>
    <w:rsid w:val="0021586F"/>
    <w:rsid w:val="002213CD"/>
    <w:rsid w:val="00223866"/>
    <w:rsid w:val="0023284F"/>
    <w:rsid w:val="00232879"/>
    <w:rsid w:val="002603DA"/>
    <w:rsid w:val="00265C0E"/>
    <w:rsid w:val="00270674"/>
    <w:rsid w:val="00275E57"/>
    <w:rsid w:val="002760AF"/>
    <w:rsid w:val="00283062"/>
    <w:rsid w:val="002A01A9"/>
    <w:rsid w:val="002A51E4"/>
    <w:rsid w:val="002B6218"/>
    <w:rsid w:val="002D0753"/>
    <w:rsid w:val="002D158B"/>
    <w:rsid w:val="002D494C"/>
    <w:rsid w:val="002E7CF6"/>
    <w:rsid w:val="002F0222"/>
    <w:rsid w:val="002F19E4"/>
    <w:rsid w:val="002F40FC"/>
    <w:rsid w:val="002F46F2"/>
    <w:rsid w:val="002F7A65"/>
    <w:rsid w:val="003030D2"/>
    <w:rsid w:val="00303CFB"/>
    <w:rsid w:val="00303D0E"/>
    <w:rsid w:val="003104A1"/>
    <w:rsid w:val="0031467E"/>
    <w:rsid w:val="00320AC4"/>
    <w:rsid w:val="00321A7C"/>
    <w:rsid w:val="00322BCE"/>
    <w:rsid w:val="00323D88"/>
    <w:rsid w:val="003275BD"/>
    <w:rsid w:val="003324CD"/>
    <w:rsid w:val="003350C0"/>
    <w:rsid w:val="003453AD"/>
    <w:rsid w:val="003616E6"/>
    <w:rsid w:val="00365254"/>
    <w:rsid w:val="00375CC1"/>
    <w:rsid w:val="00383897"/>
    <w:rsid w:val="003859A5"/>
    <w:rsid w:val="003964D2"/>
    <w:rsid w:val="003A5A11"/>
    <w:rsid w:val="003A5D1F"/>
    <w:rsid w:val="003B23FA"/>
    <w:rsid w:val="003C16C6"/>
    <w:rsid w:val="003D0CDD"/>
    <w:rsid w:val="003D10D4"/>
    <w:rsid w:val="003D163D"/>
    <w:rsid w:val="003E7D3E"/>
    <w:rsid w:val="003F062B"/>
    <w:rsid w:val="003F4D6F"/>
    <w:rsid w:val="00403EC9"/>
    <w:rsid w:val="004149D2"/>
    <w:rsid w:val="004217ED"/>
    <w:rsid w:val="00425E47"/>
    <w:rsid w:val="00434D24"/>
    <w:rsid w:val="00435242"/>
    <w:rsid w:val="00436C1E"/>
    <w:rsid w:val="00444797"/>
    <w:rsid w:val="00455834"/>
    <w:rsid w:val="00472AE6"/>
    <w:rsid w:val="00475376"/>
    <w:rsid w:val="004823C9"/>
    <w:rsid w:val="004A1C49"/>
    <w:rsid w:val="004A1C8E"/>
    <w:rsid w:val="004A1DB5"/>
    <w:rsid w:val="004A6891"/>
    <w:rsid w:val="004A6A9F"/>
    <w:rsid w:val="004B0268"/>
    <w:rsid w:val="004B429D"/>
    <w:rsid w:val="004B4D98"/>
    <w:rsid w:val="004B5B60"/>
    <w:rsid w:val="004C02CA"/>
    <w:rsid w:val="004C11FA"/>
    <w:rsid w:val="004D4623"/>
    <w:rsid w:val="004D61CF"/>
    <w:rsid w:val="004E2E84"/>
    <w:rsid w:val="004E7B66"/>
    <w:rsid w:val="004F4D05"/>
    <w:rsid w:val="004F7A7E"/>
    <w:rsid w:val="00504074"/>
    <w:rsid w:val="005047E6"/>
    <w:rsid w:val="005100A1"/>
    <w:rsid w:val="00522814"/>
    <w:rsid w:val="00534712"/>
    <w:rsid w:val="00542310"/>
    <w:rsid w:val="00544C13"/>
    <w:rsid w:val="00561B87"/>
    <w:rsid w:val="005766EF"/>
    <w:rsid w:val="005839C0"/>
    <w:rsid w:val="00597F3F"/>
    <w:rsid w:val="005A7162"/>
    <w:rsid w:val="005B74BA"/>
    <w:rsid w:val="005C0719"/>
    <w:rsid w:val="005D00F1"/>
    <w:rsid w:val="005D2FAD"/>
    <w:rsid w:val="005E36B7"/>
    <w:rsid w:val="005F1962"/>
    <w:rsid w:val="005F4881"/>
    <w:rsid w:val="00615BB7"/>
    <w:rsid w:val="00617238"/>
    <w:rsid w:val="0062692A"/>
    <w:rsid w:val="006313CF"/>
    <w:rsid w:val="00642DA5"/>
    <w:rsid w:val="00643079"/>
    <w:rsid w:val="00654CEC"/>
    <w:rsid w:val="00655AB3"/>
    <w:rsid w:val="006561BC"/>
    <w:rsid w:val="006658AD"/>
    <w:rsid w:val="006739A7"/>
    <w:rsid w:val="006744E7"/>
    <w:rsid w:val="00675B57"/>
    <w:rsid w:val="00677DED"/>
    <w:rsid w:val="006840E1"/>
    <w:rsid w:val="0069627E"/>
    <w:rsid w:val="006B7B54"/>
    <w:rsid w:val="006C5C99"/>
    <w:rsid w:val="006C63D6"/>
    <w:rsid w:val="006C6EC5"/>
    <w:rsid w:val="006D37B7"/>
    <w:rsid w:val="006E78B4"/>
    <w:rsid w:val="006F6FB5"/>
    <w:rsid w:val="006F76CC"/>
    <w:rsid w:val="00700841"/>
    <w:rsid w:val="007021DA"/>
    <w:rsid w:val="00724E58"/>
    <w:rsid w:val="00727AD2"/>
    <w:rsid w:val="007338CB"/>
    <w:rsid w:val="00740470"/>
    <w:rsid w:val="00745B9E"/>
    <w:rsid w:val="0075576A"/>
    <w:rsid w:val="00755B67"/>
    <w:rsid w:val="00784448"/>
    <w:rsid w:val="00784896"/>
    <w:rsid w:val="00785266"/>
    <w:rsid w:val="00787914"/>
    <w:rsid w:val="007A3E17"/>
    <w:rsid w:val="007B34E2"/>
    <w:rsid w:val="007C3410"/>
    <w:rsid w:val="007D713F"/>
    <w:rsid w:val="007E691E"/>
    <w:rsid w:val="007F021D"/>
    <w:rsid w:val="007F44B7"/>
    <w:rsid w:val="007F7180"/>
    <w:rsid w:val="00804C69"/>
    <w:rsid w:val="008106EB"/>
    <w:rsid w:val="00815827"/>
    <w:rsid w:val="00817E25"/>
    <w:rsid w:val="00823C26"/>
    <w:rsid w:val="008342BF"/>
    <w:rsid w:val="00844430"/>
    <w:rsid w:val="0084593F"/>
    <w:rsid w:val="00855822"/>
    <w:rsid w:val="008633AB"/>
    <w:rsid w:val="00865E50"/>
    <w:rsid w:val="00866F8B"/>
    <w:rsid w:val="00873740"/>
    <w:rsid w:val="00890E17"/>
    <w:rsid w:val="008A6744"/>
    <w:rsid w:val="008A71B0"/>
    <w:rsid w:val="008B3640"/>
    <w:rsid w:val="008B7850"/>
    <w:rsid w:val="008C02E2"/>
    <w:rsid w:val="008C2975"/>
    <w:rsid w:val="008C3845"/>
    <w:rsid w:val="008E3022"/>
    <w:rsid w:val="009056E2"/>
    <w:rsid w:val="009429EF"/>
    <w:rsid w:val="00942F1A"/>
    <w:rsid w:val="00944816"/>
    <w:rsid w:val="00946425"/>
    <w:rsid w:val="00961373"/>
    <w:rsid w:val="00963BF6"/>
    <w:rsid w:val="009653EA"/>
    <w:rsid w:val="00965B58"/>
    <w:rsid w:val="00965B75"/>
    <w:rsid w:val="00966453"/>
    <w:rsid w:val="00971335"/>
    <w:rsid w:val="00971896"/>
    <w:rsid w:val="00972ED0"/>
    <w:rsid w:val="00977748"/>
    <w:rsid w:val="00980AA0"/>
    <w:rsid w:val="00991750"/>
    <w:rsid w:val="009923C4"/>
    <w:rsid w:val="00993AA0"/>
    <w:rsid w:val="00994A13"/>
    <w:rsid w:val="00994FD1"/>
    <w:rsid w:val="00997DF0"/>
    <w:rsid w:val="009A5DD2"/>
    <w:rsid w:val="009B138C"/>
    <w:rsid w:val="009D1664"/>
    <w:rsid w:val="009D40A8"/>
    <w:rsid w:val="009E12FD"/>
    <w:rsid w:val="009E53C2"/>
    <w:rsid w:val="009F1F90"/>
    <w:rsid w:val="00A04DB8"/>
    <w:rsid w:val="00A12834"/>
    <w:rsid w:val="00A210E4"/>
    <w:rsid w:val="00A271BB"/>
    <w:rsid w:val="00A411FC"/>
    <w:rsid w:val="00A42396"/>
    <w:rsid w:val="00A4259B"/>
    <w:rsid w:val="00A46A9F"/>
    <w:rsid w:val="00A54DFE"/>
    <w:rsid w:val="00A56677"/>
    <w:rsid w:val="00A622B3"/>
    <w:rsid w:val="00A65EFF"/>
    <w:rsid w:val="00A75EFD"/>
    <w:rsid w:val="00A82CF5"/>
    <w:rsid w:val="00A872CD"/>
    <w:rsid w:val="00A92E85"/>
    <w:rsid w:val="00A94B43"/>
    <w:rsid w:val="00A9542D"/>
    <w:rsid w:val="00AA221B"/>
    <w:rsid w:val="00AA7A62"/>
    <w:rsid w:val="00AB2BCE"/>
    <w:rsid w:val="00AB6AC6"/>
    <w:rsid w:val="00AC3ABD"/>
    <w:rsid w:val="00AD157D"/>
    <w:rsid w:val="00AD1937"/>
    <w:rsid w:val="00AE72FA"/>
    <w:rsid w:val="00AF6FCB"/>
    <w:rsid w:val="00B13003"/>
    <w:rsid w:val="00B21E7C"/>
    <w:rsid w:val="00B23719"/>
    <w:rsid w:val="00B378C7"/>
    <w:rsid w:val="00B41308"/>
    <w:rsid w:val="00B561A6"/>
    <w:rsid w:val="00B57DDA"/>
    <w:rsid w:val="00B63D80"/>
    <w:rsid w:val="00B75FC7"/>
    <w:rsid w:val="00B81E15"/>
    <w:rsid w:val="00B84B6A"/>
    <w:rsid w:val="00BA2927"/>
    <w:rsid w:val="00BA2A8F"/>
    <w:rsid w:val="00BA332C"/>
    <w:rsid w:val="00BB41FF"/>
    <w:rsid w:val="00BB4E7A"/>
    <w:rsid w:val="00BB67C3"/>
    <w:rsid w:val="00BC5B30"/>
    <w:rsid w:val="00BC5B85"/>
    <w:rsid w:val="00BC76F9"/>
    <w:rsid w:val="00BD3C68"/>
    <w:rsid w:val="00BD669C"/>
    <w:rsid w:val="00BE1DEB"/>
    <w:rsid w:val="00BF2641"/>
    <w:rsid w:val="00BF7679"/>
    <w:rsid w:val="00C02153"/>
    <w:rsid w:val="00C0379C"/>
    <w:rsid w:val="00C40C30"/>
    <w:rsid w:val="00C44811"/>
    <w:rsid w:val="00C45543"/>
    <w:rsid w:val="00C47764"/>
    <w:rsid w:val="00C56505"/>
    <w:rsid w:val="00C56AB6"/>
    <w:rsid w:val="00C62A4F"/>
    <w:rsid w:val="00C64C11"/>
    <w:rsid w:val="00C6717B"/>
    <w:rsid w:val="00C673DF"/>
    <w:rsid w:val="00C812DE"/>
    <w:rsid w:val="00C8187D"/>
    <w:rsid w:val="00C93CF2"/>
    <w:rsid w:val="00CA0CDD"/>
    <w:rsid w:val="00CB0E41"/>
    <w:rsid w:val="00CC6E0C"/>
    <w:rsid w:val="00CE0468"/>
    <w:rsid w:val="00CF43BE"/>
    <w:rsid w:val="00D1207C"/>
    <w:rsid w:val="00D1410C"/>
    <w:rsid w:val="00D1461A"/>
    <w:rsid w:val="00D14C4A"/>
    <w:rsid w:val="00D1724F"/>
    <w:rsid w:val="00D20A5E"/>
    <w:rsid w:val="00D21108"/>
    <w:rsid w:val="00D21895"/>
    <w:rsid w:val="00D24275"/>
    <w:rsid w:val="00D36A59"/>
    <w:rsid w:val="00D41D1C"/>
    <w:rsid w:val="00D5298A"/>
    <w:rsid w:val="00D5505F"/>
    <w:rsid w:val="00D66B18"/>
    <w:rsid w:val="00D84388"/>
    <w:rsid w:val="00D855CE"/>
    <w:rsid w:val="00D9544D"/>
    <w:rsid w:val="00D95F57"/>
    <w:rsid w:val="00DA6490"/>
    <w:rsid w:val="00DB69DA"/>
    <w:rsid w:val="00DB6CD5"/>
    <w:rsid w:val="00DC22CF"/>
    <w:rsid w:val="00DE00D1"/>
    <w:rsid w:val="00DF1A9B"/>
    <w:rsid w:val="00DF2C8C"/>
    <w:rsid w:val="00DF45BA"/>
    <w:rsid w:val="00DF6375"/>
    <w:rsid w:val="00E0301F"/>
    <w:rsid w:val="00E05F4F"/>
    <w:rsid w:val="00E17A21"/>
    <w:rsid w:val="00E25EF5"/>
    <w:rsid w:val="00E4320A"/>
    <w:rsid w:val="00E64CE0"/>
    <w:rsid w:val="00E72119"/>
    <w:rsid w:val="00E7789C"/>
    <w:rsid w:val="00E82300"/>
    <w:rsid w:val="00E83184"/>
    <w:rsid w:val="00E84175"/>
    <w:rsid w:val="00E9072D"/>
    <w:rsid w:val="00E907FC"/>
    <w:rsid w:val="00E933E1"/>
    <w:rsid w:val="00E95036"/>
    <w:rsid w:val="00E96E60"/>
    <w:rsid w:val="00EA7FB7"/>
    <w:rsid w:val="00EB150D"/>
    <w:rsid w:val="00EC4997"/>
    <w:rsid w:val="00EC4EAD"/>
    <w:rsid w:val="00ED2997"/>
    <w:rsid w:val="00ED76C4"/>
    <w:rsid w:val="00EE2657"/>
    <w:rsid w:val="00EF2D00"/>
    <w:rsid w:val="00EF7A90"/>
    <w:rsid w:val="00F03F32"/>
    <w:rsid w:val="00F11F9B"/>
    <w:rsid w:val="00F1505F"/>
    <w:rsid w:val="00F1649E"/>
    <w:rsid w:val="00F16A7D"/>
    <w:rsid w:val="00F22D00"/>
    <w:rsid w:val="00F31771"/>
    <w:rsid w:val="00F372CD"/>
    <w:rsid w:val="00F500D5"/>
    <w:rsid w:val="00F5157E"/>
    <w:rsid w:val="00F60BCE"/>
    <w:rsid w:val="00F71FCA"/>
    <w:rsid w:val="00F860A7"/>
    <w:rsid w:val="00F9218C"/>
    <w:rsid w:val="00FA1189"/>
    <w:rsid w:val="00FA4653"/>
    <w:rsid w:val="00FA7863"/>
    <w:rsid w:val="00FC1700"/>
    <w:rsid w:val="00FC5481"/>
    <w:rsid w:val="00FC569D"/>
    <w:rsid w:val="00FE0C39"/>
    <w:rsid w:val="00FE12F3"/>
    <w:rsid w:val="00FE236E"/>
    <w:rsid w:val="00FF2ADD"/>
    <w:rsid w:val="00FF4105"/>
    <w:rsid w:val="00FF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8A433"/>
  <w15:chartTrackingRefBased/>
  <w15:docId w15:val="{50BAD222-8553-45E5-9FEE-CCD31687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E7A"/>
    <w:pPr>
      <w:widowControl w:val="0"/>
    </w:pPr>
  </w:style>
  <w:style w:type="paragraph" w:styleId="Heading1">
    <w:name w:val="heading 1"/>
    <w:basedOn w:val="Normal"/>
    <w:next w:val="Normal"/>
    <w:link w:val="Heading1Char"/>
    <w:uiPriority w:val="9"/>
    <w:qFormat/>
    <w:rsid w:val="006E78B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6E78B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6E78B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6E78B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6E78B4"/>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6E78B4"/>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6E78B4"/>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E78B4"/>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E78B4"/>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8B4"/>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6E78B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6E78B4"/>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6E78B4"/>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6E78B4"/>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6E78B4"/>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6E78B4"/>
    <w:rPr>
      <w:rFonts w:cstheme="majorBidi"/>
      <w:b/>
      <w:bCs/>
      <w:color w:val="595959" w:themeColor="text1" w:themeTint="A6"/>
    </w:rPr>
  </w:style>
  <w:style w:type="character" w:customStyle="1" w:styleId="Heading8Char">
    <w:name w:val="Heading 8 Char"/>
    <w:basedOn w:val="DefaultParagraphFont"/>
    <w:link w:val="Heading8"/>
    <w:uiPriority w:val="9"/>
    <w:semiHidden/>
    <w:rsid w:val="006E78B4"/>
    <w:rPr>
      <w:rFonts w:cstheme="majorBidi"/>
      <w:color w:val="595959" w:themeColor="text1" w:themeTint="A6"/>
    </w:rPr>
  </w:style>
  <w:style w:type="character" w:customStyle="1" w:styleId="Heading9Char">
    <w:name w:val="Heading 9 Char"/>
    <w:basedOn w:val="DefaultParagraphFont"/>
    <w:link w:val="Heading9"/>
    <w:uiPriority w:val="9"/>
    <w:semiHidden/>
    <w:rsid w:val="006E78B4"/>
    <w:rPr>
      <w:rFonts w:eastAsiaTheme="majorEastAsia" w:cstheme="majorBidi"/>
      <w:color w:val="595959" w:themeColor="text1" w:themeTint="A6"/>
    </w:rPr>
  </w:style>
  <w:style w:type="paragraph" w:styleId="Title">
    <w:name w:val="Title"/>
    <w:basedOn w:val="Normal"/>
    <w:next w:val="Normal"/>
    <w:link w:val="TitleChar"/>
    <w:uiPriority w:val="10"/>
    <w:qFormat/>
    <w:rsid w:val="006E78B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8B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8B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E78B4"/>
    <w:pPr>
      <w:spacing w:before="160"/>
      <w:jc w:val="center"/>
    </w:pPr>
    <w:rPr>
      <w:i/>
      <w:iCs/>
      <w:color w:val="404040" w:themeColor="text1" w:themeTint="BF"/>
    </w:rPr>
  </w:style>
  <w:style w:type="character" w:customStyle="1" w:styleId="QuoteChar">
    <w:name w:val="Quote Char"/>
    <w:basedOn w:val="DefaultParagraphFont"/>
    <w:link w:val="Quote"/>
    <w:uiPriority w:val="29"/>
    <w:rsid w:val="006E78B4"/>
    <w:rPr>
      <w:i/>
      <w:iCs/>
      <w:color w:val="404040" w:themeColor="text1" w:themeTint="BF"/>
    </w:rPr>
  </w:style>
  <w:style w:type="paragraph" w:styleId="ListParagraph">
    <w:name w:val="List Paragraph"/>
    <w:basedOn w:val="Normal"/>
    <w:uiPriority w:val="34"/>
    <w:qFormat/>
    <w:rsid w:val="006E78B4"/>
    <w:pPr>
      <w:ind w:left="720"/>
      <w:contextualSpacing/>
    </w:pPr>
  </w:style>
  <w:style w:type="character" w:styleId="IntenseEmphasis">
    <w:name w:val="Intense Emphasis"/>
    <w:basedOn w:val="DefaultParagraphFont"/>
    <w:uiPriority w:val="21"/>
    <w:qFormat/>
    <w:rsid w:val="006E78B4"/>
    <w:rPr>
      <w:i/>
      <w:iCs/>
      <w:color w:val="0F4761" w:themeColor="accent1" w:themeShade="BF"/>
    </w:rPr>
  </w:style>
  <w:style w:type="paragraph" w:styleId="IntenseQuote">
    <w:name w:val="Intense Quote"/>
    <w:basedOn w:val="Normal"/>
    <w:next w:val="Normal"/>
    <w:link w:val="IntenseQuoteChar"/>
    <w:uiPriority w:val="30"/>
    <w:qFormat/>
    <w:rsid w:val="006E7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8B4"/>
    <w:rPr>
      <w:i/>
      <w:iCs/>
      <w:color w:val="0F4761" w:themeColor="accent1" w:themeShade="BF"/>
    </w:rPr>
  </w:style>
  <w:style w:type="character" w:styleId="IntenseReference">
    <w:name w:val="Intense Reference"/>
    <w:basedOn w:val="DefaultParagraphFont"/>
    <w:uiPriority w:val="32"/>
    <w:qFormat/>
    <w:rsid w:val="006E78B4"/>
    <w:rPr>
      <w:b/>
      <w:bCs/>
      <w:smallCaps/>
      <w:color w:val="0F4761" w:themeColor="accent1" w:themeShade="BF"/>
      <w:spacing w:val="5"/>
    </w:rPr>
  </w:style>
  <w:style w:type="paragraph" w:styleId="Header">
    <w:name w:val="header"/>
    <w:basedOn w:val="Normal"/>
    <w:link w:val="HeaderChar"/>
    <w:uiPriority w:val="99"/>
    <w:unhideWhenUsed/>
    <w:rsid w:val="00D21108"/>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D21108"/>
    <w:rPr>
      <w:sz w:val="18"/>
      <w:szCs w:val="18"/>
    </w:rPr>
  </w:style>
  <w:style w:type="paragraph" w:styleId="Footer">
    <w:name w:val="footer"/>
    <w:basedOn w:val="Normal"/>
    <w:link w:val="FooterChar"/>
    <w:uiPriority w:val="99"/>
    <w:unhideWhenUsed/>
    <w:rsid w:val="00D2110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D21108"/>
    <w:rPr>
      <w:sz w:val="18"/>
      <w:szCs w:val="18"/>
    </w:rPr>
  </w:style>
  <w:style w:type="table" w:customStyle="1" w:styleId="a">
    <w:name w:val="三线表"/>
    <w:basedOn w:val="TableNormal"/>
    <w:uiPriority w:val="99"/>
    <w:rsid w:val="00160597"/>
    <w:pPr>
      <w:spacing w:after="0" w:line="240" w:lineRule="auto"/>
    </w:pPr>
    <w:rPr>
      <w:rFonts w:ascii="Times New Roman" w:eastAsia="宋体" w:hAnsi="Times New Roman"/>
      <w:sz w:val="24"/>
      <w:szCs w:val="22"/>
      <w14:ligatures w14:val="none"/>
    </w:rPr>
    <w:tblPr>
      <w:jc w:val="center"/>
      <w:tblBorders>
        <w:top w:val="single" w:sz="12" w:space="0" w:color="auto"/>
        <w:bottom w:val="single" w:sz="12" w:space="0" w:color="auto"/>
      </w:tblBorders>
    </w:tblPr>
    <w:trPr>
      <w:jc w:val="center"/>
    </w:trPr>
  </w:style>
  <w:style w:type="table" w:styleId="TableGrid">
    <w:name w:val="Table Grid"/>
    <w:basedOn w:val="TableNormal"/>
    <w:uiPriority w:val="39"/>
    <w:rsid w:val="00B21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1A9B"/>
    <w:rPr>
      <w:color w:val="467886" w:themeColor="hyperlink"/>
      <w:u w:val="single"/>
    </w:rPr>
  </w:style>
  <w:style w:type="character" w:styleId="UnresolvedMention">
    <w:name w:val="Unresolved Mention"/>
    <w:basedOn w:val="DefaultParagraphFont"/>
    <w:uiPriority w:val="99"/>
    <w:semiHidden/>
    <w:unhideWhenUsed/>
    <w:rsid w:val="00DF1A9B"/>
    <w:rPr>
      <w:color w:val="605E5C"/>
      <w:shd w:val="clear" w:color="auto" w:fill="E1DFDD"/>
    </w:rPr>
  </w:style>
  <w:style w:type="paragraph" w:styleId="Bibliography">
    <w:name w:val="Bibliography"/>
    <w:basedOn w:val="Normal"/>
    <w:next w:val="Normal"/>
    <w:uiPriority w:val="37"/>
    <w:unhideWhenUsed/>
    <w:rsid w:val="00D66B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2B97A-2EF7-4411-AE71-C4D8B6EC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1826</TotalTime>
  <Pages>31</Pages>
  <Words>60827</Words>
  <Characters>130170</Characters>
  <Application>Microsoft Office Word</Application>
  <DocSecurity>0</DocSecurity>
  <Lines>4067</Lines>
  <Paragraphs>3080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Shiwen ZHOU</dc:creator>
  <cp:keywords/>
  <dc:description/>
  <cp:lastModifiedBy>Shiwen ZHOU</cp:lastModifiedBy>
  <cp:revision>161</cp:revision>
  <dcterms:created xsi:type="dcterms:W3CDTF">2026-04-26T12:06:00Z</dcterms:created>
  <dcterms:modified xsi:type="dcterms:W3CDTF">2026-06-05T00:38:00Z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zotero-version="9.0.1"&gt;&lt;session id="MlkoMBMl"/&gt;&lt;style id="http://www.zotero.org/styles/thesis-gb-t-7714-2015-numeric" hasBibliography="1" bibliographyStyleHasBeenSet="1"/&gt;&lt;prefs&gt;&lt;pref name="fieldType" value="Field"/&gt;&lt;pref name="auto</vt:lpwstr>
  </property>
  <property fmtid="{D5CDD505-2E9C-101B-9397-08002B2CF9AE}" pid="3" name="ZOTERO_PREF_2">
    <vt:lpwstr>maticJournalAbbreviations" value="true"/&gt;&lt;pref name="delayCitationUpdates" value="true"/&gt;&lt;pref name="dontAskDelayCitationUpdates" value="true"/&gt;&lt;/prefs&gt;&lt;/data&gt;</vt:lpwstr>
  </property>
</Properties>
</file>